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D1D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方正小标宋简体" w:hAnsi="方正小标宋简体" w:eastAsia="方正小标宋简体" w:cs="方正小标宋简体"/>
          <w:b w:val="0"/>
          <w:bCs w:val="0"/>
          <w:i w:val="0"/>
          <w:iCs w:val="0"/>
          <w:caps w:val="0"/>
          <w:color w:val="auto"/>
          <w:spacing w:val="0"/>
          <w:sz w:val="44"/>
          <w:szCs w:val="44"/>
          <w:shd w:val="clear" w:color="auto" w:fill="FFFFFF"/>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lang w:val="en-US" w:eastAsia="zh-CN"/>
        </w:rPr>
        <w:t>黄石有轨电车一期新建路段路灯外部电源施工项目公开遴选文件</w:t>
      </w:r>
    </w:p>
    <w:p w14:paraId="189CA9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rPr>
      </w:pPr>
    </w:p>
    <w:p w14:paraId="3DEC344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各投标单位：</w:t>
      </w:r>
    </w:p>
    <w:p w14:paraId="3813C44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我公司将对黄石有轨电车一期新建路段路灯外部电源施工项目</w:t>
      </w:r>
      <w:r>
        <w:rPr>
          <w:rFonts w:hint="eastAsia" w:ascii="宋体" w:hAnsi="宋体" w:eastAsia="宋体" w:cs="宋体"/>
          <w:color w:val="000000"/>
          <w:sz w:val="24"/>
          <w:szCs w:val="24"/>
          <w:highlight w:val="none"/>
          <w:lang w:val="en-US" w:eastAsia="zh-CN"/>
        </w:rPr>
        <w:t>施工单位</w:t>
      </w:r>
      <w:r>
        <w:rPr>
          <w:rFonts w:hint="eastAsia" w:ascii="宋体" w:hAnsi="宋体" w:eastAsia="宋体" w:cs="宋体"/>
          <w:color w:val="auto"/>
          <w:sz w:val="24"/>
          <w:szCs w:val="24"/>
          <w:highlight w:val="none"/>
          <w:lang w:val="en-US" w:eastAsia="zh-CN"/>
        </w:rPr>
        <w:t>进行公开遴选，欢迎各单位参与，现就有关事项说明如下：</w:t>
      </w:r>
    </w:p>
    <w:p w14:paraId="3ED76257">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项目名称：黄石有轨电车一期新建路段路灯外部电源施工项目</w:t>
      </w:r>
    </w:p>
    <w:p w14:paraId="7D0AB9D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二、项目地址：项目位于黄石有轨电车樊家山路、经四路、纵三路。</w:t>
      </w:r>
    </w:p>
    <w:p w14:paraId="4799777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三、最高限价：约15万元（含9%税）；</w:t>
      </w:r>
      <w:r>
        <w:rPr>
          <w:rFonts w:hint="eastAsia" w:ascii="宋体" w:hAnsi="宋体" w:cs="宋体"/>
          <w:color w:val="000000"/>
          <w:sz w:val="24"/>
          <w:szCs w:val="24"/>
          <w:highlight w:val="none"/>
          <w:lang w:eastAsia="zh-CN"/>
        </w:rPr>
        <w:t>最终金额以结算报告为准（</w:t>
      </w:r>
      <w:r>
        <w:rPr>
          <w:rFonts w:hint="eastAsia"/>
          <w:color w:val="000000"/>
          <w:sz w:val="24"/>
          <w:highlight w:val="none"/>
          <w:lang w:eastAsia="zh-CN"/>
        </w:rPr>
        <w:t>下浮率：（</w:t>
      </w:r>
      <w:r>
        <w:rPr>
          <w:rFonts w:hint="eastAsia"/>
          <w:color w:val="000000"/>
          <w:sz w:val="24"/>
          <w:highlight w:val="none"/>
          <w:lang w:val="en-US" w:eastAsia="zh-CN"/>
        </w:rPr>
        <w:t>15万-投标报价）/15万，</w:t>
      </w:r>
      <w:r>
        <w:rPr>
          <w:rFonts w:hint="eastAsia" w:ascii="宋体" w:hAnsi="宋体" w:cs="宋体"/>
          <w:color w:val="000000"/>
          <w:sz w:val="24"/>
          <w:szCs w:val="24"/>
          <w:highlight w:val="none"/>
          <w:lang w:eastAsia="zh-CN"/>
        </w:rPr>
        <w:t>定额套用</w:t>
      </w:r>
      <w:r>
        <w:rPr>
          <w:rFonts w:hint="eastAsia"/>
          <w:color w:val="000000"/>
          <w:sz w:val="24"/>
          <w:lang w:eastAsia="zh-CN"/>
        </w:rPr>
        <w:t>《建设工程工程量清单计价规范》（GB50500-2013）、《关于发布</w:t>
      </w:r>
      <w:r>
        <w:rPr>
          <w:rFonts w:ascii="Calibri" w:hAnsi="Calibri"/>
          <w:color w:val="000000"/>
          <w:sz w:val="24"/>
          <w:lang w:eastAsia="zh-CN"/>
        </w:rPr>
        <w:t>˂</w:t>
      </w:r>
      <w:r>
        <w:rPr>
          <w:rFonts w:hint="eastAsia"/>
          <w:color w:val="000000"/>
          <w:sz w:val="24"/>
          <w:lang w:eastAsia="zh-CN"/>
        </w:rPr>
        <w:t>湖北省房屋建筑与装饰工程消耗量定额及全费用基价表</w:t>
      </w:r>
      <w:r>
        <w:rPr>
          <w:rFonts w:ascii="Calibri" w:hAnsi="Calibri"/>
          <w:color w:val="000000"/>
          <w:sz w:val="24"/>
          <w:lang w:eastAsia="zh-CN"/>
        </w:rPr>
        <w:t>˃</w:t>
      </w:r>
      <w:r>
        <w:rPr>
          <w:rFonts w:hint="eastAsia" w:ascii="Calibri" w:hAnsi="Calibri"/>
          <w:color w:val="000000"/>
          <w:sz w:val="24"/>
          <w:lang w:eastAsia="zh-CN"/>
        </w:rPr>
        <w:t>等8项定额的通知</w:t>
      </w:r>
      <w:r>
        <w:rPr>
          <w:rFonts w:hint="eastAsia"/>
          <w:color w:val="000000"/>
          <w:sz w:val="24"/>
          <w:lang w:eastAsia="zh-CN"/>
        </w:rPr>
        <w:t>》（鄂建办[2018]27号）相关规定及相关配套文件是投标人投标计价的依据</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w:t>
      </w:r>
    </w:p>
    <w:p w14:paraId="34EEF45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、质保期：2年。</w:t>
      </w:r>
    </w:p>
    <w:p w14:paraId="451CE6F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、总工期要求：</w:t>
      </w:r>
      <w:r>
        <w:rPr>
          <w:rFonts w:hint="eastAsia" w:ascii="宋体" w:hAnsi="宋体" w:cs="宋体"/>
          <w:color w:val="FF0000"/>
          <w:sz w:val="24"/>
          <w:szCs w:val="24"/>
          <w:highlight w:val="none"/>
          <w:lang w:val="en-US" w:eastAsia="zh-CN"/>
        </w:rPr>
        <w:t>50</w:t>
      </w:r>
      <w:r>
        <w:rPr>
          <w:rFonts w:hint="eastAsia" w:ascii="宋体" w:hAnsi="宋体" w:eastAsia="宋体" w:cs="宋体"/>
          <w:color w:val="auto"/>
          <w:sz w:val="24"/>
          <w:szCs w:val="24"/>
          <w:highlight w:val="none"/>
          <w:lang w:val="en-US" w:eastAsia="zh-CN"/>
        </w:rPr>
        <w:t>个日历天（每延期1天扣款1000元）。</w:t>
      </w:r>
    </w:p>
    <w:p w14:paraId="00247AB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、主要工程量（包含但不限于）：</w:t>
      </w:r>
    </w:p>
    <w:p w14:paraId="75BB609A">
      <w:pPr>
        <w:spacing w:line="360" w:lineRule="auto"/>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1.樊家山路外部电源主要工程量</w:t>
      </w:r>
    </w:p>
    <w:p w14:paraId="26E9248B">
      <w:pPr>
        <w:spacing w:line="360" w:lineRule="auto"/>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电源由10kV广法线卉垚渣土支线</w:t>
      </w:r>
      <w:r>
        <w:rPr>
          <w:rFonts w:hint="eastAsia" w:ascii="宋体" w:hAnsi="宋体" w:eastAsia="宋体" w:cs="宋体"/>
          <w:color w:val="000000"/>
          <w:sz w:val="24"/>
          <w:szCs w:val="24"/>
          <w:lang w:val="en-US" w:eastAsia="zh-CN"/>
        </w:rPr>
        <w:t>002#杆（原有）</w:t>
      </w:r>
      <w:r>
        <w:rPr>
          <w:rFonts w:hint="eastAsia" w:ascii="宋体" w:hAnsi="宋体" w:eastAsia="宋体" w:cs="宋体"/>
          <w:color w:val="000000"/>
          <w:sz w:val="24"/>
          <w:szCs w:val="24"/>
          <w:lang w:eastAsia="zh-CN"/>
        </w:rPr>
        <w:t>，新敷设</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lang w:eastAsia="zh-CN"/>
        </w:rPr>
        <w:t>kV电缆</w:t>
      </w:r>
      <w:r>
        <w:rPr>
          <w:rFonts w:hint="eastAsia" w:ascii="宋体" w:hAnsi="宋体" w:eastAsia="宋体" w:cs="宋体"/>
          <w:color w:val="000000"/>
          <w:sz w:val="24"/>
          <w:szCs w:val="24"/>
          <w:lang w:val="en-US" w:eastAsia="zh-CN"/>
        </w:rPr>
        <w:t>ZCYJV22-8.7/10-3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50,15米，新建电缆直埋通道</w:t>
      </w:r>
      <w:r>
        <w:rPr>
          <w:rFonts w:hint="eastAsia" w:ascii="宋体" w:hAnsi="宋体" w:cs="宋体"/>
          <w:color w:val="000000"/>
          <w:sz w:val="24"/>
          <w:szCs w:val="24"/>
          <w:lang w:val="en-US" w:eastAsia="zh-CN"/>
        </w:rPr>
        <w:t>约</w:t>
      </w:r>
      <w:r>
        <w:rPr>
          <w:rFonts w:hint="eastAsia" w:ascii="宋体" w:hAnsi="宋体" w:eastAsia="宋体" w:cs="宋体"/>
          <w:color w:val="000000"/>
          <w:sz w:val="24"/>
          <w:szCs w:val="24"/>
          <w:lang w:val="en-US" w:eastAsia="zh-CN"/>
        </w:rPr>
        <w:t>5米，</w:t>
      </w:r>
      <w:r>
        <w:rPr>
          <w:rFonts w:hint="eastAsia" w:ascii="宋体" w:hAnsi="宋体" w:eastAsia="宋体" w:cs="宋体"/>
          <w:color w:val="000000"/>
          <w:sz w:val="24"/>
          <w:szCs w:val="24"/>
          <w:lang w:eastAsia="zh-CN"/>
        </w:rPr>
        <w:t>箱变容量为</w:t>
      </w:r>
      <w:r>
        <w:rPr>
          <w:rFonts w:hint="eastAsia" w:ascii="宋体" w:hAnsi="宋体" w:eastAsia="宋体" w:cs="宋体"/>
          <w:color w:val="000000"/>
          <w:sz w:val="24"/>
          <w:szCs w:val="24"/>
          <w:lang w:val="en-US" w:eastAsia="zh-CN"/>
        </w:rPr>
        <w:t>100</w:t>
      </w:r>
      <w:r>
        <w:rPr>
          <w:rFonts w:hint="eastAsia" w:ascii="宋体" w:hAnsi="宋体" w:eastAsia="宋体" w:cs="宋体"/>
          <w:color w:val="000000"/>
          <w:sz w:val="24"/>
          <w:szCs w:val="24"/>
          <w:lang w:eastAsia="zh-CN"/>
        </w:rPr>
        <w:t>kVA（详见施工图</w:t>
      </w:r>
      <w:r>
        <w:rPr>
          <w:rFonts w:hint="eastAsia" w:ascii="宋体" w:hAnsi="宋体" w:cs="宋体"/>
          <w:color w:val="000000"/>
          <w:sz w:val="24"/>
          <w:szCs w:val="24"/>
          <w:lang w:eastAsia="zh-CN"/>
        </w:rPr>
        <w:t>、高压供电方案答复单</w:t>
      </w:r>
      <w:r>
        <w:rPr>
          <w:rFonts w:hint="eastAsia" w:ascii="宋体" w:hAnsi="宋体" w:eastAsia="宋体" w:cs="宋体"/>
          <w:color w:val="000000"/>
          <w:sz w:val="24"/>
          <w:szCs w:val="24"/>
          <w:lang w:eastAsia="zh-CN"/>
        </w:rPr>
        <w:t>）。</w:t>
      </w:r>
    </w:p>
    <w:p w14:paraId="6C11EAC6">
      <w:pPr>
        <w:spacing w:line="360" w:lineRule="auto"/>
        <w:ind w:firstLine="496" w:firstLineChars="200"/>
        <w:jc w:val="both"/>
        <w:rPr>
          <w:rFonts w:hint="eastAsia" w:ascii="宋体" w:hAnsi="宋体" w:eastAsia="宋体" w:cs="宋体"/>
          <w:color w:val="000000"/>
          <w:spacing w:val="4"/>
          <w:sz w:val="24"/>
          <w:szCs w:val="24"/>
          <w:lang w:val="en-US" w:eastAsia="zh-CN"/>
        </w:rPr>
      </w:pPr>
      <w:r>
        <w:rPr>
          <w:rFonts w:hint="eastAsia" w:ascii="宋体" w:hAnsi="宋体" w:eastAsia="宋体" w:cs="宋体"/>
          <w:color w:val="000000"/>
          <w:spacing w:val="4"/>
          <w:sz w:val="24"/>
          <w:szCs w:val="24"/>
          <w:lang w:val="en-US" w:eastAsia="zh-CN"/>
        </w:rPr>
        <w:t>2.经四路、纵三路外部电源主要工程</w:t>
      </w:r>
      <w:r>
        <w:rPr>
          <w:rFonts w:hint="eastAsia" w:ascii="宋体" w:hAnsi="宋体" w:cs="宋体"/>
          <w:color w:val="000000"/>
          <w:spacing w:val="4"/>
          <w:sz w:val="24"/>
          <w:szCs w:val="24"/>
          <w:lang w:val="en-US" w:eastAsia="zh-CN"/>
        </w:rPr>
        <w:t>量</w:t>
      </w:r>
    </w:p>
    <w:p w14:paraId="5C635AB9">
      <w:pPr>
        <w:spacing w:line="360" w:lineRule="auto"/>
        <w:ind w:firstLine="496" w:firstLineChars="200"/>
        <w:jc w:val="both"/>
        <w:rPr>
          <w:rFonts w:hint="eastAsia" w:ascii="宋体" w:hAnsi="宋体" w:eastAsia="宋体" w:cs="宋体"/>
          <w:color w:val="000000"/>
          <w:sz w:val="24"/>
          <w:szCs w:val="24"/>
          <w:lang w:val="en-US" w:eastAsia="zh-CN"/>
        </w:rPr>
      </w:pPr>
      <w:r>
        <w:rPr>
          <w:rFonts w:hint="eastAsia" w:ascii="宋体" w:hAnsi="宋体" w:eastAsia="宋体" w:cs="宋体"/>
          <w:color w:val="000000"/>
          <w:spacing w:val="4"/>
          <w:sz w:val="24"/>
          <w:szCs w:val="24"/>
          <w:lang w:eastAsia="zh-CN"/>
        </w:rPr>
        <w:t>利旧杆φ</w:t>
      </w:r>
      <w:r>
        <w:rPr>
          <w:rFonts w:hint="eastAsia" w:ascii="宋体" w:hAnsi="宋体" w:eastAsia="宋体" w:cs="宋体"/>
          <w:color w:val="000000"/>
          <w:spacing w:val="4"/>
          <w:sz w:val="24"/>
          <w:szCs w:val="24"/>
          <w:lang w:val="en-US" w:eastAsia="zh-CN"/>
        </w:rPr>
        <w:t>190</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12m 10kV绿地线奥体公园1#环网柜主1开关出线#05杆（原有）新建10kV架空线路125m，新敷设10kV电缆ZCYJV22-8.7/10-3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50,15米,新建电缆直埋通道5米，</w:t>
      </w:r>
      <w:r>
        <w:rPr>
          <w:rFonts w:hint="eastAsia" w:ascii="宋体" w:hAnsi="宋体" w:eastAsia="宋体" w:cs="宋体"/>
          <w:color w:val="000000"/>
          <w:sz w:val="24"/>
          <w:szCs w:val="24"/>
          <w:lang w:eastAsia="zh-CN"/>
        </w:rPr>
        <w:t>箱变容量为</w:t>
      </w:r>
      <w:r>
        <w:rPr>
          <w:rFonts w:hint="eastAsia" w:ascii="宋体" w:hAnsi="宋体" w:eastAsia="宋体" w:cs="宋体"/>
          <w:color w:val="000000"/>
          <w:sz w:val="24"/>
          <w:szCs w:val="24"/>
          <w:lang w:val="en-US" w:eastAsia="zh-CN"/>
        </w:rPr>
        <w:t>100</w:t>
      </w:r>
      <w:r>
        <w:rPr>
          <w:rFonts w:hint="eastAsia" w:ascii="宋体" w:hAnsi="宋体" w:eastAsia="宋体" w:cs="宋体"/>
          <w:color w:val="000000"/>
          <w:sz w:val="24"/>
          <w:szCs w:val="24"/>
          <w:lang w:eastAsia="zh-CN"/>
        </w:rPr>
        <w:t>kVA（详见施工图</w:t>
      </w:r>
      <w:r>
        <w:rPr>
          <w:rFonts w:hint="eastAsia" w:ascii="宋体" w:hAnsi="宋体" w:cs="宋体"/>
          <w:color w:val="000000"/>
          <w:sz w:val="24"/>
          <w:szCs w:val="24"/>
          <w:lang w:eastAsia="zh-CN"/>
        </w:rPr>
        <w:t>、高压供电方案答复单）。</w:t>
      </w:r>
    </w:p>
    <w:p w14:paraId="1F631A4E">
      <w:pPr>
        <w:pStyle w:val="6"/>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3.2台100</w:t>
      </w:r>
      <w:r>
        <w:rPr>
          <w:rFonts w:hint="eastAsia" w:ascii="宋体" w:hAnsi="宋体" w:eastAsia="宋体" w:cs="宋体"/>
          <w:color w:val="000000"/>
          <w:sz w:val="24"/>
          <w:szCs w:val="24"/>
          <w:lang w:eastAsia="zh-CN"/>
        </w:rPr>
        <w:t>kVA</w:t>
      </w:r>
      <w:r>
        <w:rPr>
          <w:rFonts w:hint="eastAsia" w:ascii="宋体" w:hAnsi="宋体" w:eastAsia="宋体" w:cs="宋体"/>
          <w:color w:val="auto"/>
          <w:sz w:val="24"/>
          <w:szCs w:val="24"/>
          <w:highlight w:val="none"/>
          <w:lang w:val="en-US" w:eastAsia="zh-CN"/>
        </w:rPr>
        <w:t>箱变移位及基础施工、2台100</w:t>
      </w:r>
      <w:r>
        <w:rPr>
          <w:rFonts w:hint="eastAsia" w:ascii="宋体" w:hAnsi="宋体" w:eastAsia="宋体" w:cs="宋体"/>
          <w:color w:val="000000"/>
          <w:sz w:val="24"/>
          <w:szCs w:val="24"/>
          <w:lang w:eastAsia="zh-CN"/>
        </w:rPr>
        <w:t>kVA</w:t>
      </w:r>
      <w:r>
        <w:rPr>
          <w:rFonts w:hint="eastAsia" w:ascii="宋体" w:hAnsi="宋体" w:eastAsia="宋体" w:cs="宋体"/>
          <w:color w:val="auto"/>
          <w:sz w:val="24"/>
          <w:szCs w:val="24"/>
          <w:highlight w:val="none"/>
          <w:lang w:val="en-US" w:eastAsia="zh-CN"/>
        </w:rPr>
        <w:t>箱变耐压试验、低压出线电缆与路灯电源接驳</w:t>
      </w:r>
      <w:r>
        <w:rPr>
          <w:rFonts w:hint="eastAsia" w:eastAsia="宋体" w:cs="宋体"/>
          <w:color w:val="auto"/>
          <w:sz w:val="24"/>
          <w:szCs w:val="24"/>
          <w:highlight w:val="none"/>
          <w:lang w:val="en-US" w:eastAsia="zh-CN"/>
        </w:rPr>
        <w:t>、新建通道土建施工等。</w:t>
      </w:r>
    </w:p>
    <w:p w14:paraId="0AAFD2CB">
      <w:pPr>
        <w:pStyle w:val="2"/>
        <w:spacing w:line="460" w:lineRule="atLeast"/>
        <w:ind w:firstLine="480" w:firstLineChars="200"/>
        <w:jc w:val="both"/>
        <w:rPr>
          <w:rFonts w:hint="eastAsia" w:ascii="宋体" w:hAnsi="宋体" w:eastAsia="宋体" w:cs="宋体"/>
          <w:bCs/>
          <w:color w:val="auto"/>
          <w:spacing w:val="20"/>
          <w:sz w:val="24"/>
          <w:szCs w:val="24"/>
          <w:lang w:eastAsia="zh-CN"/>
        </w:rPr>
      </w:pPr>
      <w:r>
        <w:rPr>
          <w:rFonts w:hint="eastAsia" w:ascii="宋体" w:hAnsi="宋体" w:eastAsia="宋体" w:cs="宋体"/>
          <w:color w:val="auto"/>
          <w:kern w:val="2"/>
          <w:sz w:val="24"/>
          <w:szCs w:val="24"/>
          <w:highlight w:val="none"/>
          <w:lang w:val="en-US" w:eastAsia="zh-CN" w:bidi="ar-SA"/>
        </w:rPr>
        <w:t>4.质量要求：符合设计要求，并通过供电相关部门验收送电，达到国家现行验收规范合格标准。</w:t>
      </w:r>
    </w:p>
    <w:p w14:paraId="7053212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七</w:t>
      </w:r>
      <w:r>
        <w:rPr>
          <w:rFonts w:hint="eastAsia" w:ascii="宋体" w:hAnsi="宋体" w:eastAsia="宋体" w:cs="宋体"/>
          <w:color w:val="000000"/>
          <w:sz w:val="24"/>
          <w:szCs w:val="24"/>
          <w:highlight w:val="none"/>
          <w:lang w:eastAsia="zh-CN"/>
        </w:rPr>
        <w:t>、支付方式：</w:t>
      </w:r>
      <w:r>
        <w:rPr>
          <w:rFonts w:hint="eastAsia" w:ascii="宋体" w:hAnsi="宋体" w:eastAsia="宋体" w:cs="宋体"/>
          <w:color w:val="000000"/>
          <w:sz w:val="24"/>
          <w:szCs w:val="24"/>
          <w:highlight w:val="none"/>
          <w:lang w:val="en-US" w:eastAsia="zh-CN"/>
        </w:rPr>
        <w:t>完成黄石现代有轨电车一期</w:t>
      </w:r>
      <w:r>
        <w:rPr>
          <w:rFonts w:hint="eastAsia" w:ascii="宋体" w:hAnsi="宋体" w:eastAsia="宋体" w:cs="宋体"/>
          <w:color w:val="000000"/>
          <w:sz w:val="24"/>
          <w:szCs w:val="24"/>
          <w:highlight w:val="none"/>
          <w:lang w:eastAsia="zh-CN"/>
        </w:rPr>
        <w:t>新建路段路灯外部电源施工并</w:t>
      </w:r>
      <w:r>
        <w:rPr>
          <w:rFonts w:hint="eastAsia" w:ascii="宋体" w:hAnsi="宋体" w:cs="宋体"/>
          <w:color w:val="000000"/>
          <w:sz w:val="24"/>
          <w:szCs w:val="24"/>
          <w:highlight w:val="none"/>
          <w:lang w:eastAsia="zh-CN"/>
        </w:rPr>
        <w:t>对</w:t>
      </w:r>
      <w:r>
        <w:rPr>
          <w:rFonts w:hint="eastAsia" w:ascii="宋体" w:hAnsi="宋体" w:eastAsia="宋体" w:cs="宋体"/>
          <w:color w:val="000000"/>
          <w:sz w:val="24"/>
          <w:szCs w:val="24"/>
          <w:highlight w:val="none"/>
          <w:lang w:eastAsia="zh-CN"/>
        </w:rPr>
        <w:t>路灯送电验收</w:t>
      </w:r>
      <w:r>
        <w:rPr>
          <w:rFonts w:hint="eastAsia" w:ascii="宋体" w:hAnsi="宋体" w:cs="宋体"/>
          <w:color w:val="000000"/>
          <w:sz w:val="24"/>
          <w:szCs w:val="24"/>
          <w:highlight w:val="none"/>
          <w:lang w:eastAsia="zh-CN"/>
        </w:rPr>
        <w:t>后</w:t>
      </w:r>
      <w:r>
        <w:rPr>
          <w:rFonts w:hint="eastAsia" w:ascii="宋体" w:hAnsi="宋体" w:eastAsia="宋体" w:cs="宋体"/>
          <w:color w:val="000000"/>
          <w:sz w:val="24"/>
          <w:szCs w:val="24"/>
          <w:highlight w:val="none"/>
          <w:lang w:eastAsia="zh-CN"/>
        </w:rPr>
        <w:t>，甲方</w:t>
      </w:r>
      <w:r>
        <w:rPr>
          <w:rFonts w:hint="eastAsia" w:ascii="宋体" w:hAnsi="宋体" w:cs="宋体"/>
          <w:color w:val="000000"/>
          <w:sz w:val="24"/>
          <w:szCs w:val="24"/>
          <w:highlight w:val="none"/>
          <w:lang w:eastAsia="zh-CN"/>
        </w:rPr>
        <w:t>聘请第三方造价咨询单位出具结算报告，一次性</w:t>
      </w:r>
      <w:r>
        <w:rPr>
          <w:rFonts w:hint="eastAsia" w:ascii="宋体" w:hAnsi="宋体" w:eastAsia="宋体" w:cs="宋体"/>
          <w:color w:val="000000"/>
          <w:sz w:val="24"/>
          <w:szCs w:val="24"/>
          <w:highlight w:val="none"/>
          <w:lang w:eastAsia="zh-CN"/>
        </w:rPr>
        <w:t>支付结算金额的</w:t>
      </w:r>
      <w:r>
        <w:rPr>
          <w:rFonts w:hint="eastAsia" w:ascii="宋体" w:hAnsi="宋体" w:eastAsia="宋体" w:cs="宋体"/>
          <w:color w:val="000000"/>
          <w:sz w:val="24"/>
          <w:szCs w:val="24"/>
          <w:highlight w:val="none"/>
          <w:lang w:val="en-US" w:eastAsia="zh-CN"/>
        </w:rPr>
        <w:t>97%；</w:t>
      </w:r>
      <w:r>
        <w:rPr>
          <w:rFonts w:hint="eastAsia" w:ascii="宋体" w:hAnsi="宋体" w:eastAsia="宋体" w:cs="宋体"/>
          <w:color w:val="000000"/>
          <w:sz w:val="24"/>
          <w:szCs w:val="24"/>
          <w:highlight w:val="none"/>
          <w:lang w:eastAsia="zh-CN"/>
        </w:rPr>
        <w:t>剩余</w:t>
      </w:r>
      <w:r>
        <w:rPr>
          <w:rFonts w:hint="eastAsia" w:ascii="宋体" w:hAnsi="宋体" w:eastAsia="宋体" w:cs="宋体"/>
          <w:color w:val="000000"/>
          <w:sz w:val="24"/>
          <w:szCs w:val="24"/>
          <w:highlight w:val="none"/>
          <w:lang w:val="en-US" w:eastAsia="zh-CN"/>
        </w:rPr>
        <w:t>3%作为质保金，质保期满后30个工作日内无息支付。</w:t>
      </w:r>
      <w:r>
        <w:rPr>
          <w:rFonts w:hint="eastAsia" w:ascii="宋体" w:hAnsi="宋体" w:eastAsia="宋体" w:cs="宋体"/>
          <w:color w:val="000000"/>
          <w:sz w:val="24"/>
          <w:szCs w:val="24"/>
          <w:highlight w:val="none"/>
          <w:lang w:eastAsia="zh-CN"/>
        </w:rPr>
        <w:t>支付费用前，需开具相应金额的增值税</w:t>
      </w:r>
      <w:r>
        <w:rPr>
          <w:rFonts w:hint="eastAsia" w:ascii="宋体" w:hAnsi="宋体" w:eastAsia="宋体" w:cs="宋体"/>
          <w:color w:val="000000"/>
          <w:sz w:val="24"/>
          <w:szCs w:val="24"/>
          <w:highlight w:val="none"/>
          <w:lang w:val="en-US" w:eastAsia="zh-CN"/>
        </w:rPr>
        <w:t>专用</w:t>
      </w:r>
      <w:r>
        <w:rPr>
          <w:rFonts w:hint="eastAsia" w:ascii="宋体" w:hAnsi="宋体" w:eastAsia="宋体" w:cs="宋体"/>
          <w:color w:val="000000"/>
          <w:sz w:val="24"/>
          <w:szCs w:val="24"/>
          <w:highlight w:val="none"/>
          <w:lang w:eastAsia="zh-CN"/>
        </w:rPr>
        <w:t>发票。</w:t>
      </w:r>
    </w:p>
    <w:p w14:paraId="4061549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八</w:t>
      </w:r>
      <w:r>
        <w:rPr>
          <w:rFonts w:hint="eastAsia" w:ascii="宋体" w:hAnsi="宋体" w:eastAsia="宋体" w:cs="宋体"/>
          <w:color w:val="000000"/>
          <w:sz w:val="24"/>
          <w:szCs w:val="24"/>
          <w:highlight w:val="none"/>
          <w:lang w:eastAsia="zh-CN"/>
        </w:rPr>
        <w:t>、企业资质及业绩要求：</w:t>
      </w:r>
    </w:p>
    <w:p w14:paraId="4AF9F722">
      <w:pPr>
        <w:spacing w:line="460" w:lineRule="atLeas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1"/>
          <w:lang w:eastAsia="zh-CN"/>
        </w:rPr>
        <w:t>在中国境内注册并取得营业执照，具有独立法人资格，</w:t>
      </w:r>
      <w:r>
        <w:rPr>
          <w:rFonts w:hint="eastAsia" w:ascii="宋体" w:hAnsi="宋体" w:eastAsia="宋体" w:cs="宋体"/>
          <w:sz w:val="24"/>
          <w:szCs w:val="24"/>
          <w:lang w:eastAsia="zh-CN"/>
        </w:rPr>
        <w:t>提供有效营业执照、组织机构代码证、税务登记证（或三证合一营业执照）</w:t>
      </w:r>
      <w:r>
        <w:rPr>
          <w:rFonts w:hint="eastAsia" w:ascii="宋体" w:hAnsi="宋体" w:eastAsia="宋体" w:cs="宋体"/>
          <w:sz w:val="24"/>
          <w:szCs w:val="21"/>
          <w:lang w:eastAsia="zh-CN"/>
        </w:rPr>
        <w:t>；</w:t>
      </w:r>
    </w:p>
    <w:p w14:paraId="17B8B010">
      <w:pPr>
        <w:autoSpaceDE/>
        <w:autoSpaceDN/>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2、投标人具备建设行政主管部门核发的电力工程施工总承包叁级及以上或输变电工程专业承包叁级及以上资质</w:t>
      </w:r>
      <w:r>
        <w:rPr>
          <w:rFonts w:hint="eastAsia" w:ascii="宋体" w:hAnsi="宋体" w:cs="宋体"/>
          <w:sz w:val="24"/>
          <w:szCs w:val="24"/>
          <w:lang w:eastAsia="zh-CN"/>
        </w:rPr>
        <w:t>、或机电工程施工总承包</w:t>
      </w:r>
      <w:r>
        <w:rPr>
          <w:rFonts w:hint="eastAsia" w:ascii="宋体" w:hAnsi="宋体" w:eastAsia="宋体" w:cs="宋体"/>
          <w:sz w:val="24"/>
          <w:szCs w:val="24"/>
          <w:lang w:eastAsia="zh-CN"/>
        </w:rPr>
        <w:t xml:space="preserve">叁级及以上资质，具备有效的安全生产许可证。 </w:t>
      </w:r>
    </w:p>
    <w:p w14:paraId="31D9283B">
      <w:pPr>
        <w:autoSpaceDE/>
        <w:autoSpaceDN/>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3、项目经理必须具有机电工程专业</w:t>
      </w:r>
      <w:r>
        <w:rPr>
          <w:rFonts w:hint="eastAsia" w:ascii="宋体" w:hAnsi="宋体" w:cs="宋体"/>
          <w:sz w:val="24"/>
          <w:szCs w:val="24"/>
          <w:lang w:eastAsia="zh-CN"/>
        </w:rPr>
        <w:t>二</w:t>
      </w:r>
      <w:r>
        <w:rPr>
          <w:rFonts w:hint="eastAsia" w:ascii="宋体" w:hAnsi="宋体" w:eastAsia="宋体" w:cs="宋体"/>
          <w:sz w:val="24"/>
          <w:szCs w:val="24"/>
          <w:lang w:eastAsia="zh-CN"/>
        </w:rPr>
        <w:t xml:space="preserve">级及以上注册建造师资格证书（不含临时建造师证），且具有有效的安全生产考核合格证书（B 证），且未担任其他在建工程的项目经理。 </w:t>
      </w:r>
    </w:p>
    <w:p w14:paraId="433C1996">
      <w:pPr>
        <w:spacing w:line="460" w:lineRule="atLeast"/>
        <w:ind w:left="13" w:leftChars="6"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4、投标人在投标截止之日起前3年</w:t>
      </w:r>
      <w:r>
        <w:rPr>
          <w:rFonts w:hint="eastAsia" w:ascii="宋体" w:hAnsi="宋体" w:cs="宋体"/>
          <w:sz w:val="24"/>
          <w:szCs w:val="24"/>
          <w:lang w:eastAsia="zh-CN"/>
        </w:rPr>
        <w:t>至少已完成过3个单项合同金额在20万元及</w:t>
      </w:r>
      <w:r>
        <w:rPr>
          <w:rFonts w:hint="eastAsia" w:ascii="宋体" w:hAnsi="宋体" w:eastAsia="宋体" w:cs="宋体"/>
          <w:sz w:val="24"/>
          <w:szCs w:val="24"/>
          <w:lang w:eastAsia="zh-CN"/>
        </w:rPr>
        <w:t>类似电力工程项目业绩（以中标通知书或施工合同或竣工验收证明为准）；</w:t>
      </w:r>
    </w:p>
    <w:p w14:paraId="3CACF69C">
      <w:pPr>
        <w:spacing w:line="460" w:lineRule="atLeast"/>
        <w:ind w:left="13" w:leftChars="6" w:firstLine="360" w:firstLineChars="15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6、根据《关于在招标投标活动中对失信被执行人实施联合惩戒的通知》(法[2016]285号)规定，须通过“信用中国”(网址www.creditchina.gov.cn)对投标企业进行信用查询，投标企业若在“失信被执行人、重大税收违法案件当事人名单”中的，其投标无效，查询结果以开标当天在“信用中国”网站查询结果为准。</w:t>
      </w:r>
    </w:p>
    <w:p w14:paraId="753BE302">
      <w:pPr>
        <w:spacing w:line="460" w:lineRule="atLeast"/>
        <w:ind w:left="13" w:leftChars="6"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7、投标人必须在“中国裁判文书网”（https://wenshu.court.gov.cn/）查询本单位及法定代表人、项目负责人近三年(查询时间段</w:t>
      </w:r>
      <w:r>
        <w:rPr>
          <w:rFonts w:hint="eastAsia" w:ascii="宋体" w:hAnsi="宋体" w:eastAsia="宋体" w:cs="宋体"/>
          <w:sz w:val="24"/>
          <w:szCs w:val="24"/>
          <w:lang w:val="en-US" w:eastAsia="zh-CN"/>
        </w:rPr>
        <w:t>202</w:t>
      </w:r>
      <w:r>
        <w:rPr>
          <w:rFonts w:hint="eastAsia" w:ascii="宋体" w:hAnsi="宋体" w:cs="宋体"/>
          <w:sz w:val="24"/>
          <w:szCs w:val="24"/>
          <w:lang w:val="en-US" w:eastAsia="zh-CN"/>
        </w:rPr>
        <w:t>3</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月至20</w:t>
      </w:r>
      <w:r>
        <w:rPr>
          <w:rFonts w:hint="eastAsia" w:ascii="宋体" w:hAnsi="宋体" w:cs="宋体"/>
          <w:sz w:val="24"/>
          <w:szCs w:val="24"/>
          <w:lang w:val="en-US" w:eastAsia="zh-CN"/>
        </w:rPr>
        <w:t>26</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月)是否有行贿犯罪记录并提供截图，未提供的或有行贿犯罪记录的投标无效，取消其投标资格。</w:t>
      </w:r>
    </w:p>
    <w:p w14:paraId="4827FC12">
      <w:pPr>
        <w:spacing w:line="460" w:lineRule="atLeas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8、本项目不接受联合体投标。</w:t>
      </w:r>
    </w:p>
    <w:p w14:paraId="53D4D091">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以上文件须提供复印件并加盖公章，未提供或提供不全）投标无效。</w:t>
      </w:r>
    </w:p>
    <w:p w14:paraId="654BF23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lang w:eastAsia="zh-CN"/>
        </w:rPr>
        <w:t>、评标办法：</w:t>
      </w:r>
      <w:r>
        <w:rPr>
          <w:rFonts w:hint="eastAsia" w:ascii="宋体" w:hAnsi="宋体" w:eastAsia="宋体" w:cs="宋体"/>
          <w:color w:val="auto"/>
          <w:sz w:val="24"/>
          <w:szCs w:val="24"/>
          <w:highlight w:val="none"/>
          <w:lang w:val="en-US" w:eastAsia="zh-CN"/>
        </w:rPr>
        <w:t>综合评分法（评分办法详见附件1），评分最高者为中标单位。</w:t>
      </w:r>
    </w:p>
    <w:p w14:paraId="239D9D9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sz w:val="24"/>
          <w:szCs w:val="24"/>
          <w:highlight w:val="none"/>
          <w:lang w:eastAsia="zh-CN"/>
        </w:rPr>
        <w:t>十、报价截止时间：20</w:t>
      </w:r>
      <w:r>
        <w:rPr>
          <w:rFonts w:hint="eastAsia" w:ascii="宋体" w:hAnsi="宋体" w:eastAsia="宋体" w:cs="宋体"/>
          <w:color w:val="000000"/>
          <w:sz w:val="24"/>
          <w:szCs w:val="24"/>
          <w:highlight w:val="none"/>
          <w:lang w:val="en-US" w:eastAsia="zh-CN"/>
        </w:rPr>
        <w:t>2</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eastAsia="zh-CN"/>
        </w:rPr>
        <w:t>年</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eastAsia="zh-CN"/>
        </w:rPr>
        <w:t>月</w:t>
      </w:r>
      <w:r>
        <w:rPr>
          <w:rFonts w:hint="eastAsia" w:ascii="宋体" w:hAnsi="宋体" w:cs="宋体"/>
          <w:color w:val="000000"/>
          <w:sz w:val="24"/>
          <w:szCs w:val="24"/>
          <w:highlight w:val="none"/>
          <w:lang w:val="en-US" w:eastAsia="zh-CN"/>
        </w:rPr>
        <w:t>12</w:t>
      </w:r>
      <w:bookmarkStart w:id="0" w:name="_GoBack"/>
      <w:bookmarkEnd w:id="0"/>
      <w:r>
        <w:rPr>
          <w:rFonts w:hint="eastAsia" w:ascii="宋体" w:hAnsi="宋体" w:eastAsia="宋体" w:cs="宋体"/>
          <w:color w:val="000000"/>
          <w:sz w:val="24"/>
          <w:szCs w:val="24"/>
          <w:highlight w:val="none"/>
          <w:lang w:eastAsia="zh-CN"/>
        </w:rPr>
        <w:t>日下午1</w:t>
      </w:r>
      <w:r>
        <w:rPr>
          <w:rFonts w:hint="eastAsia" w:ascii="宋体" w:hAnsi="宋体" w:eastAsia="宋体" w:cs="宋体"/>
          <w:color w:val="000000"/>
          <w:sz w:val="24"/>
          <w:szCs w:val="24"/>
          <w:highlight w:val="none"/>
          <w:lang w:val="en-US" w:eastAsia="zh-CN"/>
        </w:rPr>
        <w:t>4:30前</w:t>
      </w:r>
      <w:r>
        <w:rPr>
          <w:rFonts w:hint="eastAsia" w:ascii="宋体" w:hAnsi="宋体" w:eastAsia="宋体" w:cs="宋体"/>
          <w:color w:val="000000"/>
          <w:sz w:val="24"/>
          <w:szCs w:val="24"/>
          <w:highlight w:val="none"/>
          <w:lang w:eastAsia="zh-CN"/>
        </w:rPr>
        <w:t>送至或</w:t>
      </w:r>
      <w:r>
        <w:rPr>
          <w:rFonts w:hint="eastAsia" w:ascii="宋体" w:hAnsi="宋体" w:eastAsia="宋体" w:cs="宋体"/>
          <w:color w:val="auto"/>
          <w:sz w:val="24"/>
          <w:szCs w:val="24"/>
          <w:highlight w:val="none"/>
          <w:lang w:eastAsia="zh-CN"/>
        </w:rPr>
        <w:t>邮寄（邮寄址：湖北省黄石市开铁区金山大道车辆基地）</w:t>
      </w:r>
      <w:r>
        <w:rPr>
          <w:rFonts w:hint="eastAsia" w:ascii="宋体" w:hAnsi="宋体" w:eastAsia="宋体" w:cs="宋体"/>
          <w:color w:val="auto"/>
          <w:sz w:val="24"/>
          <w:szCs w:val="24"/>
          <w:highlight w:val="none"/>
          <w:lang w:val="en-US" w:eastAsia="zh-CN"/>
        </w:rPr>
        <w:t>市铁投公司2号会议室</w:t>
      </w:r>
      <w:r>
        <w:rPr>
          <w:rFonts w:hint="eastAsia" w:ascii="宋体" w:hAnsi="宋体" w:eastAsia="宋体" w:cs="宋体"/>
          <w:color w:val="auto"/>
          <w:sz w:val="24"/>
          <w:szCs w:val="24"/>
          <w:highlight w:val="none"/>
          <w:lang w:eastAsia="zh-CN"/>
        </w:rPr>
        <w:t>。</w:t>
      </w:r>
    </w:p>
    <w:p w14:paraId="00A6A71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十一、其他：投标文件送达时请将相关文件装订密封完好，并加盖公章。</w:t>
      </w:r>
    </w:p>
    <w:p w14:paraId="4D46BCA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联系方式：</w:t>
      </w:r>
      <w:r>
        <w:rPr>
          <w:rFonts w:hint="eastAsia" w:ascii="宋体" w:hAnsi="宋体" w:eastAsia="宋体" w:cs="宋体"/>
          <w:color w:val="auto"/>
          <w:sz w:val="24"/>
          <w:szCs w:val="24"/>
          <w:highlight w:val="none"/>
          <w:lang w:val="en-US" w:eastAsia="zh-CN"/>
        </w:rPr>
        <w:t>潘主任</w:t>
      </w:r>
      <w:r>
        <w:rPr>
          <w:rFonts w:hint="eastAsia" w:ascii="宋体" w:hAnsi="宋体" w:eastAsia="宋体" w:cs="宋体"/>
          <w:color w:val="auto"/>
          <w:sz w:val="24"/>
          <w:szCs w:val="24"/>
          <w:highlight w:val="none"/>
          <w:lang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15172091120</w:t>
      </w:r>
      <w:r>
        <w:rPr>
          <w:rFonts w:hint="eastAsia" w:ascii="宋体" w:hAnsi="宋体" w:eastAsia="宋体" w:cs="宋体"/>
          <w:color w:val="auto"/>
          <w:sz w:val="24"/>
          <w:szCs w:val="24"/>
          <w:highlight w:val="none"/>
          <w:lang w:eastAsia="zh-CN"/>
        </w:rPr>
        <w:t>。</w:t>
      </w:r>
    </w:p>
    <w:p w14:paraId="32790049">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jc w:val="center"/>
        <w:textAlignment w:val="auto"/>
        <w:rPr>
          <w:rFonts w:hint="eastAsia" w:ascii="宋体" w:hAnsi="宋体" w:eastAsia="宋体" w:cs="宋体"/>
          <w:bCs/>
          <w:color w:val="auto"/>
          <w:spacing w:val="20"/>
          <w:sz w:val="24"/>
          <w:szCs w:val="24"/>
        </w:rPr>
      </w:pPr>
    </w:p>
    <w:p w14:paraId="55940E50">
      <w:pPr>
        <w:keepNext w:val="0"/>
        <w:keepLines w:val="0"/>
        <w:pageBreakBefore w:val="0"/>
        <w:widowControl w:val="0"/>
        <w:kinsoku/>
        <w:wordWrap/>
        <w:overflowPunct/>
        <w:topLinePunct w:val="0"/>
        <w:autoSpaceDE/>
        <w:autoSpaceDN/>
        <w:bidi w:val="0"/>
        <w:adjustRightInd/>
        <w:snapToGrid/>
        <w:spacing w:line="520" w:lineRule="exact"/>
        <w:ind w:firstLine="4320" w:firstLineChars="18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黄石市铁路建设投资有限公司</w:t>
      </w:r>
    </w:p>
    <w:p w14:paraId="7CD8A85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2026年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日</w:t>
      </w:r>
    </w:p>
    <w:p w14:paraId="7CCCB45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spacing w:val="20"/>
          <w:sz w:val="44"/>
          <w:szCs w:val="44"/>
        </w:rPr>
      </w:pPr>
      <w:r>
        <w:rPr>
          <w:rFonts w:hint="eastAsia" w:ascii="宋体" w:hAnsi="宋体" w:eastAsia="宋体" w:cs="宋体"/>
          <w:bCs/>
          <w:color w:val="auto"/>
          <w:spacing w:val="20"/>
          <w:sz w:val="21"/>
          <w:szCs w:val="21"/>
          <w:lang w:val="en-US" w:eastAsia="zh-CN"/>
        </w:rPr>
        <w:br w:type="page"/>
      </w:r>
      <w:r>
        <w:rPr>
          <w:rFonts w:hint="eastAsia" w:ascii="宋体" w:hAnsi="宋体" w:eastAsia="宋体" w:cs="宋体"/>
          <w:bCs/>
          <w:color w:val="auto"/>
          <w:spacing w:val="20"/>
          <w:sz w:val="44"/>
          <w:szCs w:val="44"/>
        </w:rPr>
        <w:t>投 标 函</w:t>
      </w:r>
    </w:p>
    <w:p w14:paraId="1502B7B4">
      <w:pPr>
        <w:keepNext w:val="0"/>
        <w:keepLines w:val="0"/>
        <w:pageBreakBefore w:val="0"/>
        <w:widowControl w:val="0"/>
        <w:kinsoku/>
        <w:wordWrap/>
        <w:overflowPunct/>
        <w:topLinePunct w:val="0"/>
        <w:autoSpaceDE/>
        <w:autoSpaceDN/>
        <w:bidi w:val="0"/>
        <w:adjustRightInd/>
        <w:snapToGrid/>
        <w:spacing w:line="560" w:lineRule="exact"/>
        <w:ind w:left="0" w:firstLine="720" w:firstLineChars="200"/>
        <w:jc w:val="left"/>
        <w:textAlignment w:val="auto"/>
        <w:rPr>
          <w:rFonts w:hint="eastAsia" w:ascii="宋体" w:hAnsi="宋体" w:eastAsia="宋体" w:cs="宋体"/>
          <w:bCs/>
          <w:color w:val="auto"/>
          <w:spacing w:val="20"/>
          <w:sz w:val="32"/>
          <w:szCs w:val="32"/>
        </w:rPr>
      </w:pPr>
    </w:p>
    <w:p w14:paraId="5B79E890">
      <w:pPr>
        <w:spacing w:line="600" w:lineRule="exact"/>
        <w:rPr>
          <w:rFonts w:hint="eastAsia" w:ascii="宋体" w:hAnsi="宋体" w:eastAsia="宋体" w:cs="宋体"/>
          <w:color w:val="auto"/>
          <w:sz w:val="32"/>
          <w:szCs w:val="32"/>
          <w:lang w:val="en-US" w:eastAsia="zh-CN"/>
        </w:rPr>
      </w:pPr>
    </w:p>
    <w:tbl>
      <w:tblPr>
        <w:tblStyle w:val="8"/>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8455"/>
      </w:tblGrid>
      <w:tr w14:paraId="2561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2"/>
            <w:noWrap w:val="0"/>
            <w:vAlign w:val="top"/>
          </w:tcPr>
          <w:p w14:paraId="2BD4C1B1">
            <w:pPr>
              <w:spacing w:line="600" w:lineRule="exact"/>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u w:val="single"/>
                <w:vertAlign w:val="baseline"/>
                <w:lang w:val="en-US" w:eastAsia="zh-CN"/>
              </w:rPr>
              <w:t xml:space="preserve">                   </w:t>
            </w:r>
            <w:r>
              <w:rPr>
                <w:rFonts w:hint="eastAsia" w:ascii="宋体" w:hAnsi="宋体" w:eastAsia="宋体" w:cs="宋体"/>
                <w:color w:val="auto"/>
                <w:sz w:val="24"/>
                <w:szCs w:val="24"/>
                <w:vertAlign w:val="baseline"/>
                <w:lang w:val="en-US" w:eastAsia="zh-CN"/>
              </w:rPr>
              <w:t>项目投标函</w:t>
            </w:r>
          </w:p>
        </w:tc>
      </w:tr>
      <w:tr w14:paraId="1DB1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507" w:type="dxa"/>
            <w:noWrap w:val="0"/>
            <w:vAlign w:val="center"/>
          </w:tcPr>
          <w:p w14:paraId="38F17085">
            <w:pPr>
              <w:spacing w:line="600" w:lineRule="exact"/>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单位名称</w:t>
            </w:r>
          </w:p>
        </w:tc>
        <w:tc>
          <w:tcPr>
            <w:tcW w:w="8455" w:type="dxa"/>
            <w:noWrap w:val="0"/>
            <w:vAlign w:val="top"/>
          </w:tcPr>
          <w:p w14:paraId="6C0A437E">
            <w:pPr>
              <w:spacing w:line="600" w:lineRule="exact"/>
              <w:ind w:firstLine="5280" w:firstLineChars="2200"/>
              <w:rPr>
                <w:rFonts w:hint="eastAsia" w:ascii="宋体" w:hAnsi="宋体" w:eastAsia="宋体" w:cs="宋体"/>
                <w:color w:val="auto"/>
                <w:sz w:val="24"/>
                <w:szCs w:val="24"/>
                <w:vertAlign w:val="baseline"/>
                <w:lang w:val="en-US" w:eastAsia="zh-CN"/>
              </w:rPr>
            </w:pPr>
          </w:p>
          <w:p w14:paraId="3A4E13E4">
            <w:pPr>
              <w:spacing w:line="600" w:lineRule="exact"/>
              <w:ind w:firstLine="5280" w:firstLineChars="2200"/>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（盖公章）</w:t>
            </w:r>
          </w:p>
        </w:tc>
      </w:tr>
      <w:tr w14:paraId="3B11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507" w:type="dxa"/>
            <w:noWrap w:val="0"/>
            <w:vAlign w:val="center"/>
          </w:tcPr>
          <w:p w14:paraId="072725E5">
            <w:pPr>
              <w:spacing w:line="600" w:lineRule="exact"/>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投标报价</w:t>
            </w:r>
          </w:p>
        </w:tc>
        <w:tc>
          <w:tcPr>
            <w:tcW w:w="8455" w:type="dxa"/>
            <w:noWrap w:val="0"/>
            <w:vAlign w:val="top"/>
          </w:tcPr>
          <w:p w14:paraId="1E1BA1E8">
            <w:pPr>
              <w:spacing w:line="600" w:lineRule="exact"/>
              <w:rPr>
                <w:rFonts w:hint="eastAsia" w:ascii="宋体" w:hAnsi="宋体" w:eastAsia="宋体" w:cs="宋体"/>
                <w:strike/>
                <w:dstrike w:val="0"/>
                <w:color w:val="auto"/>
                <w:sz w:val="24"/>
                <w:szCs w:val="24"/>
                <w:u w:val="none"/>
                <w:vertAlign w:val="baseline"/>
                <w:lang w:val="en-US" w:eastAsia="zh-CN"/>
              </w:rPr>
            </w:pPr>
            <w:r>
              <w:rPr>
                <w:rFonts w:hint="eastAsia" w:ascii="宋体" w:hAnsi="宋体" w:cs="宋体"/>
                <w:color w:val="auto"/>
                <w:sz w:val="24"/>
                <w:szCs w:val="24"/>
                <w:vertAlign w:val="baseline"/>
                <w:lang w:val="en-US" w:eastAsia="zh-CN"/>
              </w:rPr>
              <w:t>报价</w:t>
            </w:r>
            <w:r>
              <w:rPr>
                <w:rFonts w:hint="eastAsia" w:ascii="宋体" w:hAnsi="宋体" w:eastAsia="宋体" w:cs="宋体"/>
                <w:color w:val="auto"/>
                <w:sz w:val="24"/>
                <w:szCs w:val="24"/>
                <w:u w:val="single"/>
                <w:vertAlign w:val="baseline"/>
                <w:lang w:val="en-US" w:eastAsia="zh-CN"/>
              </w:rPr>
              <w:t xml:space="preserve">             </w:t>
            </w:r>
            <w:r>
              <w:rPr>
                <w:rFonts w:hint="eastAsia" w:ascii="宋体" w:hAnsi="宋体" w:cs="宋体"/>
                <w:color w:val="auto"/>
                <w:sz w:val="24"/>
                <w:szCs w:val="24"/>
                <w:u w:val="single"/>
                <w:vertAlign w:val="baseline"/>
                <w:lang w:val="en-US" w:eastAsia="zh-CN"/>
              </w:rPr>
              <w:t>元（含9%税）</w:t>
            </w:r>
            <w:r>
              <w:rPr>
                <w:rFonts w:hint="eastAsia" w:ascii="宋体" w:hAnsi="宋体" w:eastAsia="宋体" w:cs="宋体"/>
                <w:color w:val="auto"/>
                <w:sz w:val="24"/>
                <w:szCs w:val="24"/>
                <w:vertAlign w:val="baseline"/>
                <w:lang w:val="en-US" w:eastAsia="zh-CN"/>
              </w:rPr>
              <w:t>。</w:t>
            </w:r>
          </w:p>
          <w:p w14:paraId="4688D0FB">
            <w:pPr>
              <w:spacing w:line="600" w:lineRule="exact"/>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w:t>
            </w:r>
            <w:r>
              <w:rPr>
                <w:rFonts w:hint="eastAsia" w:ascii="宋体" w:hAnsi="宋体" w:eastAsia="宋体" w:cs="宋体"/>
                <w:b/>
                <w:bCs/>
                <w:color w:val="auto"/>
                <w:sz w:val="24"/>
                <w:szCs w:val="24"/>
                <w:lang w:val="en-US" w:eastAsia="zh-CN"/>
              </w:rPr>
              <w:t>含</w:t>
            </w:r>
            <w:r>
              <w:rPr>
                <w:rFonts w:hint="eastAsia" w:ascii="宋体" w:hAnsi="宋体" w:eastAsia="宋体" w:cs="宋体"/>
                <w:b/>
                <w:bCs/>
                <w:color w:val="000000"/>
                <w:sz w:val="24"/>
                <w:szCs w:val="24"/>
                <w:lang w:val="en-US" w:eastAsia="zh-CN"/>
              </w:rPr>
              <w:t>ZCYJV22-8.7/10-3</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50电缆的采购敷设、新建电缆直埋通道、箱变</w:t>
            </w:r>
            <w:r>
              <w:rPr>
                <w:rFonts w:hint="eastAsia" w:ascii="宋体" w:hAnsi="宋体" w:cs="宋体"/>
                <w:b/>
                <w:bCs/>
                <w:color w:val="000000"/>
                <w:sz w:val="24"/>
                <w:szCs w:val="24"/>
                <w:lang w:val="en-US" w:eastAsia="zh-CN"/>
              </w:rPr>
              <w:t>移位及</w:t>
            </w:r>
            <w:r>
              <w:rPr>
                <w:rFonts w:hint="eastAsia" w:ascii="宋体" w:hAnsi="宋体" w:eastAsia="宋体" w:cs="宋体"/>
                <w:b/>
                <w:bCs/>
                <w:color w:val="000000"/>
                <w:sz w:val="24"/>
                <w:szCs w:val="24"/>
                <w:lang w:val="en-US" w:eastAsia="zh-CN"/>
              </w:rPr>
              <w:t>基础施工、</w:t>
            </w:r>
            <w:r>
              <w:rPr>
                <w:rFonts w:hint="eastAsia" w:ascii="宋体" w:hAnsi="宋体" w:cs="宋体"/>
                <w:b/>
                <w:bCs/>
                <w:color w:val="000000"/>
                <w:sz w:val="24"/>
                <w:szCs w:val="24"/>
                <w:lang w:val="en-US" w:eastAsia="zh-CN"/>
              </w:rPr>
              <w:t>电缆及箱变电气</w:t>
            </w:r>
            <w:r>
              <w:rPr>
                <w:rFonts w:hint="eastAsia" w:ascii="宋体" w:hAnsi="宋体" w:eastAsia="宋体" w:cs="宋体"/>
                <w:b/>
                <w:bCs/>
                <w:color w:val="000000"/>
                <w:sz w:val="24"/>
                <w:szCs w:val="24"/>
                <w:lang w:val="en-US" w:eastAsia="zh-CN"/>
              </w:rPr>
              <w:t>试验、低压出线电缆通道及电缆</w:t>
            </w:r>
            <w:r>
              <w:rPr>
                <w:rFonts w:hint="eastAsia" w:ascii="宋体" w:hAnsi="宋体" w:cs="宋体"/>
                <w:b/>
                <w:bCs/>
                <w:color w:val="000000"/>
                <w:sz w:val="24"/>
                <w:szCs w:val="24"/>
                <w:lang w:val="en-US" w:eastAsia="zh-CN"/>
              </w:rPr>
              <w:t>采购敷设</w:t>
            </w:r>
            <w:r>
              <w:rPr>
                <w:rFonts w:hint="eastAsia" w:ascii="宋体" w:hAnsi="宋体" w:eastAsia="宋体" w:cs="宋体"/>
                <w:b/>
                <w:bCs/>
                <w:color w:val="000000"/>
                <w:sz w:val="24"/>
                <w:szCs w:val="24"/>
                <w:highlight w:val="none"/>
                <w:lang w:val="en-US" w:eastAsia="zh-CN"/>
              </w:rPr>
              <w:t>等全部工作所</w:t>
            </w:r>
            <w:r>
              <w:rPr>
                <w:rFonts w:hint="eastAsia" w:ascii="宋体" w:hAnsi="宋体" w:eastAsia="宋体" w:cs="宋体"/>
                <w:b/>
                <w:bCs/>
                <w:color w:val="auto"/>
                <w:sz w:val="24"/>
                <w:szCs w:val="24"/>
                <w:highlight w:val="none"/>
                <w:lang w:val="en-US" w:eastAsia="zh-CN"/>
              </w:rPr>
              <w:t>发生的一切费用</w:t>
            </w:r>
            <w:r>
              <w:rPr>
                <w:rFonts w:hint="eastAsia" w:ascii="宋体" w:hAnsi="宋体" w:eastAsia="宋体" w:cs="宋体"/>
                <w:color w:val="auto"/>
                <w:sz w:val="24"/>
                <w:szCs w:val="24"/>
                <w:lang w:val="en-US" w:eastAsia="zh-CN"/>
              </w:rPr>
              <w:t>）。</w:t>
            </w:r>
          </w:p>
          <w:p w14:paraId="491C1E40">
            <w:pPr>
              <w:spacing w:line="600" w:lineRule="exact"/>
              <w:ind w:firstLine="2160" w:firstLineChars="900"/>
              <w:rPr>
                <w:rFonts w:hint="eastAsia" w:ascii="宋体" w:hAnsi="宋体" w:eastAsia="宋体" w:cs="宋体"/>
                <w:color w:val="auto"/>
                <w:sz w:val="24"/>
                <w:szCs w:val="24"/>
                <w:vertAlign w:val="baseline"/>
                <w:lang w:val="en-US" w:eastAsia="zh-CN"/>
              </w:rPr>
            </w:pPr>
          </w:p>
        </w:tc>
      </w:tr>
      <w:tr w14:paraId="1969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1507" w:type="dxa"/>
            <w:noWrap w:val="0"/>
            <w:vAlign w:val="center"/>
          </w:tcPr>
          <w:p w14:paraId="79B7E4EF">
            <w:pPr>
              <w:spacing w:line="600" w:lineRule="exact"/>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承诺</w:t>
            </w:r>
          </w:p>
        </w:tc>
        <w:tc>
          <w:tcPr>
            <w:tcW w:w="8455" w:type="dxa"/>
            <w:noWrap w:val="0"/>
            <w:vAlign w:val="top"/>
          </w:tcPr>
          <w:p w14:paraId="1692FBC9">
            <w:pPr>
              <w:spacing w:line="600" w:lineRule="exact"/>
              <w:ind w:firstLine="780"/>
              <w:jc w:val="left"/>
              <w:rPr>
                <w:rFonts w:hint="eastAsia" w:ascii="宋体" w:hAnsi="宋体" w:eastAsia="宋体" w:cs="宋体"/>
                <w:bCs/>
                <w:color w:val="auto"/>
                <w:spacing w:val="20"/>
                <w:sz w:val="24"/>
                <w:szCs w:val="24"/>
              </w:rPr>
            </w:pPr>
            <w:r>
              <w:rPr>
                <w:rFonts w:hint="eastAsia" w:ascii="宋体" w:hAnsi="宋体" w:eastAsia="宋体" w:cs="宋体"/>
                <w:bCs/>
                <w:color w:val="auto"/>
                <w:spacing w:val="20"/>
                <w:sz w:val="24"/>
                <w:szCs w:val="24"/>
              </w:rPr>
              <w:t>我方响应</w:t>
            </w:r>
            <w:r>
              <w:rPr>
                <w:rFonts w:hint="eastAsia" w:ascii="宋体" w:hAnsi="宋体" w:cs="宋体"/>
                <w:bCs/>
                <w:color w:val="auto"/>
                <w:spacing w:val="20"/>
                <w:sz w:val="24"/>
                <w:szCs w:val="24"/>
                <w:lang w:val="en-US" w:eastAsia="zh-CN"/>
              </w:rPr>
              <w:t>遴选</w:t>
            </w:r>
            <w:r>
              <w:rPr>
                <w:rFonts w:hint="eastAsia" w:ascii="宋体" w:hAnsi="宋体" w:eastAsia="宋体" w:cs="宋体"/>
                <w:bCs/>
                <w:color w:val="auto"/>
                <w:spacing w:val="20"/>
                <w:sz w:val="24"/>
                <w:szCs w:val="24"/>
              </w:rPr>
              <w:t>函内的工作内容及要求，完成相关工作。如我方中标</w:t>
            </w:r>
            <w:r>
              <w:rPr>
                <w:rFonts w:hint="eastAsia" w:ascii="宋体" w:hAnsi="宋体" w:eastAsia="宋体" w:cs="宋体"/>
                <w:bCs/>
                <w:color w:val="auto"/>
                <w:spacing w:val="20"/>
                <w:sz w:val="24"/>
                <w:szCs w:val="24"/>
                <w:lang w:eastAsia="zh-CN"/>
              </w:rPr>
              <w:t>，</w:t>
            </w:r>
            <w:r>
              <w:rPr>
                <w:rFonts w:hint="eastAsia" w:ascii="宋体" w:hAnsi="宋体" w:eastAsia="宋体" w:cs="宋体"/>
                <w:bCs/>
                <w:color w:val="auto"/>
                <w:spacing w:val="20"/>
                <w:sz w:val="24"/>
                <w:szCs w:val="24"/>
              </w:rPr>
              <w:t>我方承诺在双方约定的期限内完成你方要求的工作。</w:t>
            </w:r>
          </w:p>
          <w:p w14:paraId="16B02583">
            <w:pPr>
              <w:spacing w:line="600" w:lineRule="exact"/>
              <w:rPr>
                <w:rFonts w:hint="eastAsia" w:ascii="宋体" w:hAnsi="宋体" w:eastAsia="宋体" w:cs="宋体"/>
                <w:color w:val="auto"/>
                <w:sz w:val="24"/>
                <w:szCs w:val="24"/>
                <w:vertAlign w:val="baseline"/>
                <w:lang w:val="en-US" w:eastAsia="zh-CN"/>
              </w:rPr>
            </w:pPr>
          </w:p>
        </w:tc>
      </w:tr>
    </w:tbl>
    <w:p w14:paraId="31BCE28C">
      <w:pPr>
        <w:ind w:firstLine="640"/>
        <w:jc w:val="left"/>
        <w:rPr>
          <w:rFonts w:hint="eastAsia" w:ascii="宋体" w:hAnsi="宋体" w:eastAsia="宋体" w:cs="宋体"/>
          <w:color w:val="auto"/>
          <w:sz w:val="32"/>
          <w:szCs w:val="32"/>
          <w:lang w:val="en-US" w:eastAsia="zh-CN"/>
        </w:rPr>
      </w:pPr>
    </w:p>
    <w:p w14:paraId="29D5FFEE">
      <w:pPr>
        <w:ind w:firstLine="5040" w:firstLineChars="2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 系 人：</w:t>
      </w:r>
    </w:p>
    <w:p w14:paraId="6BC04A62">
      <w:pPr>
        <w:ind w:firstLine="5040" w:firstLineChars="2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14:paraId="3B67D3C0">
      <w:pPr>
        <w:spacing w:line="600" w:lineRule="exact"/>
        <w:jc w:val="center"/>
        <w:rPr>
          <w:rFonts w:hint="eastAsia" w:ascii="宋体" w:hAnsi="宋体" w:eastAsia="宋体" w:cs="宋体"/>
          <w:color w:val="auto"/>
          <w:sz w:val="32"/>
          <w:szCs w:val="32"/>
        </w:rPr>
      </w:pPr>
    </w:p>
    <w:p w14:paraId="5312B70C">
      <w:pPr>
        <w:spacing w:line="600" w:lineRule="exact"/>
        <w:jc w:val="center"/>
        <w:rPr>
          <w:rFonts w:hint="eastAsia" w:ascii="宋体" w:hAnsi="宋体" w:eastAsia="宋体" w:cs="宋体"/>
          <w:color w:val="auto"/>
          <w:sz w:val="32"/>
          <w:szCs w:val="32"/>
        </w:rPr>
      </w:pPr>
    </w:p>
    <w:p w14:paraId="073984FD">
      <w:pPr>
        <w:spacing w:line="600" w:lineRule="exact"/>
        <w:jc w:val="center"/>
        <w:rPr>
          <w:rFonts w:hint="eastAsia" w:ascii="宋体" w:hAnsi="宋体" w:eastAsia="宋体" w:cs="宋体"/>
          <w:color w:val="auto"/>
          <w:sz w:val="32"/>
          <w:szCs w:val="32"/>
        </w:rPr>
      </w:pPr>
    </w:p>
    <w:p w14:paraId="166491FC">
      <w:pPr>
        <w:spacing w:line="600" w:lineRule="exact"/>
        <w:jc w:val="center"/>
        <w:rPr>
          <w:rFonts w:hint="eastAsia" w:ascii="宋体" w:hAnsi="宋体" w:eastAsia="宋体" w:cs="宋体"/>
          <w:color w:val="auto"/>
          <w:sz w:val="32"/>
          <w:szCs w:val="32"/>
        </w:rPr>
      </w:pPr>
    </w:p>
    <w:p w14:paraId="197C278C">
      <w:pPr>
        <w:spacing w:line="600" w:lineRule="exact"/>
        <w:jc w:val="center"/>
        <w:rPr>
          <w:rFonts w:hint="eastAsia" w:ascii="宋体" w:hAnsi="宋体" w:eastAsia="宋体" w:cs="宋体"/>
          <w:color w:val="auto"/>
          <w:sz w:val="32"/>
          <w:szCs w:val="32"/>
        </w:rPr>
      </w:pPr>
    </w:p>
    <w:p w14:paraId="4117F27D">
      <w:pPr>
        <w:pStyle w:val="6"/>
        <w:ind w:left="0" w:leftChars="0" w:firstLine="0" w:firstLineChars="0"/>
        <w:rPr>
          <w:rFonts w:hint="eastAsia" w:ascii="宋体" w:hAnsi="宋体" w:eastAsia="宋体" w:cs="宋体"/>
          <w:color w:val="auto"/>
          <w:sz w:val="32"/>
          <w:szCs w:val="32"/>
        </w:rPr>
      </w:pPr>
    </w:p>
    <w:p w14:paraId="386E60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sz w:val="44"/>
          <w:szCs w:val="44"/>
          <w:highlight w:val="none"/>
          <w:lang w:val="en-US" w:eastAsia="zh-CN"/>
        </w:rPr>
      </w:pPr>
      <w:r>
        <w:rPr>
          <w:rFonts w:hint="eastAsia" w:ascii="宋体" w:hAnsi="宋体" w:eastAsia="宋体" w:cs="宋体"/>
          <w:bCs/>
          <w:color w:val="auto"/>
          <w:spacing w:val="20"/>
          <w:sz w:val="44"/>
          <w:szCs w:val="44"/>
          <w:lang w:val="en-US" w:eastAsia="zh-CN"/>
        </w:rPr>
        <w:t>相关承诺</w:t>
      </w:r>
    </w:p>
    <w:p w14:paraId="047FD099">
      <w:pPr>
        <w:spacing w:line="400" w:lineRule="exact"/>
        <w:rPr>
          <w:rFonts w:hint="eastAsia" w:ascii="宋体" w:hAnsi="宋体" w:eastAsia="宋体" w:cs="宋体"/>
          <w:color w:val="auto"/>
          <w:sz w:val="24"/>
          <w:szCs w:val="24"/>
        </w:rPr>
      </w:pPr>
    </w:p>
    <w:p w14:paraId="2D065AB8">
      <w:pPr>
        <w:spacing w:line="52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致：黄石市铁路建设投资有限公司</w:t>
      </w:r>
    </w:p>
    <w:p w14:paraId="7EEDC3B5">
      <w:pPr>
        <w:spacing w:line="52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作为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项目的投标人，我方郑重承诺：</w:t>
      </w:r>
    </w:p>
    <w:p w14:paraId="26301248">
      <w:pPr>
        <w:spacing w:line="520" w:lineRule="exact"/>
        <w:ind w:firstLine="470" w:firstLineChars="195"/>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一、保证不更换项目负责人及项目组人员的承诺</w:t>
      </w:r>
    </w:p>
    <w:p w14:paraId="3749726B">
      <w:pPr>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中标后确保投标文件中所列项目负责人及项目组所有人员按工程进度要求和招标人要求到位，且承诺项目负责人全程对接本项目造价咨询服务，除因死亡、中标后患重大疾病不能胜任工作及招标人要求更换的原因外，不得更换；更换项目负责人及项目组其他人员，除了必须取得招标人同意外，其更换后的项目负责人及项目组其他人员的资格不得低于招标文件的要求，并接受招标人的违约罚金，且招标人保留单方面解除合同的权力，我单位不得有异议。</w:t>
      </w:r>
    </w:p>
    <w:p w14:paraId="78A5A0B4">
      <w:pPr>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2、如果未按以上承诺到位，我公司愿意接受以下处罚：</w:t>
      </w:r>
    </w:p>
    <w:p w14:paraId="59777C16">
      <w:pPr>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书中承诺的项目负责人及项目组其他人员，除因死亡、中标后患重大疾病不能胜任工作及发包人要求更换的原因外，不更换；更换项目负责人及项目组其他人员，除了必须取得招标人同意外，其更换后的项目负责人或项目组其他人员资格不得低于招标文件的要求，并处以每换一次</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万元的违约罚金（除死亡和发包人要求更换外），且招标人保留单方面解除合同的权力。</w:t>
      </w:r>
    </w:p>
    <w:p w14:paraId="0ED13AFB">
      <w:pPr>
        <w:spacing w:line="520" w:lineRule="exact"/>
        <w:ind w:firstLine="470" w:firstLineChars="195"/>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二、保证不借资质的承诺</w:t>
      </w:r>
    </w:p>
    <w:p w14:paraId="5214632B">
      <w:pPr>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在该工程的投标和实施过程中不发生借资质的行为。否则，我方愿意接受以下处罚：</w:t>
      </w:r>
    </w:p>
    <w:p w14:paraId="353A166A">
      <w:pPr>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（1）由招标人向市、省和国家建设等行政主管部门报告，作一次不良记录；</w:t>
      </w:r>
    </w:p>
    <w:p w14:paraId="13D743D4">
      <w:pPr>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（2）合同履行期间将应付工程款作为处罚扣留；</w:t>
      </w:r>
    </w:p>
    <w:p w14:paraId="7A1182D7">
      <w:pPr>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（3）由招标人联系司法机关追究相关法律责任。</w:t>
      </w:r>
    </w:p>
    <w:p w14:paraId="08660F20">
      <w:pPr>
        <w:spacing w:line="520" w:lineRule="exact"/>
        <w:ind w:firstLine="472" w:firstLineChars="196"/>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三、保证不围标、不串通投标</w:t>
      </w:r>
    </w:p>
    <w:p w14:paraId="1DFB3578">
      <w:pPr>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在该工程的投标过程中不发生围标、不串通投标的行为。否则，我方愿意接受以下处罚：</w:t>
      </w:r>
    </w:p>
    <w:p w14:paraId="72C0E024">
      <w:pPr>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（1）由招标人向市、省和国家建设等行政主管部门报告，作一次不良记录；</w:t>
      </w:r>
    </w:p>
    <w:p w14:paraId="5E0A690E">
      <w:pPr>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（2）由招标人联系司法机关追究相关法律责任。</w:t>
      </w:r>
    </w:p>
    <w:p w14:paraId="6475A81E">
      <w:pPr>
        <w:spacing w:line="520" w:lineRule="exact"/>
        <w:ind w:firstLine="472" w:firstLineChars="196"/>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四、关于投标价格</w:t>
      </w:r>
    </w:p>
    <w:p w14:paraId="1FA7DEB6">
      <w:pPr>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我方郑重承诺：如我方投标被招标人所接受，投标价格除合同中另有约定外，</w:t>
      </w:r>
    </w:p>
    <w:p w14:paraId="650E2063">
      <w:pPr>
        <w:spacing w:line="52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其他任何涨价因素都不予调整。</w:t>
      </w:r>
    </w:p>
    <w:p w14:paraId="326570B4">
      <w:pPr>
        <w:spacing w:line="520" w:lineRule="exact"/>
        <w:ind w:firstLine="472" w:firstLineChars="196"/>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五、不恶意低价竞争的承诺书</w:t>
      </w:r>
    </w:p>
    <w:p w14:paraId="768CA4AB">
      <w:pPr>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我方郑重承诺：</w:t>
      </w:r>
    </w:p>
    <w:p w14:paraId="3B256194">
      <w:pPr>
        <w:numPr>
          <w:ilvl w:val="0"/>
          <w:numId w:val="0"/>
        </w:numPr>
        <w:spacing w:line="52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不存在低于成本的恶意报价行为，也不存在恶意提高报价行为，否则，本项目招标人有权取消我公司中标的资格或解除服务合同，并有权没收我公司的保证金或履约保证金。</w:t>
      </w:r>
    </w:p>
    <w:p w14:paraId="018C1F7F">
      <w:pPr>
        <w:numPr>
          <w:ilvl w:val="0"/>
          <w:numId w:val="0"/>
        </w:numPr>
        <w:spacing w:line="520" w:lineRule="exact"/>
        <w:ind w:firstLine="480" w:firstLineChars="200"/>
        <w:jc w:val="both"/>
        <w:rPr>
          <w:rFonts w:hint="eastAsia" w:ascii="宋体" w:hAnsi="宋体" w:eastAsia="宋体" w:cs="宋体"/>
          <w:color w:val="auto"/>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若中标后，我公司以价格低为由拒绝签订合同或者因价格因素影响正常服务质量等情况发生，招标人有权将该情况上报诚信主管部门认定为失信行为，并将我公司纳入黄石市城发集团合作单位黑名单。</w:t>
      </w:r>
    </w:p>
    <w:p w14:paraId="6978BBD6">
      <w:pPr>
        <w:spacing w:line="520" w:lineRule="exact"/>
        <w:ind w:firstLine="472" w:firstLineChars="196"/>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六、依法投标的承诺</w:t>
      </w:r>
    </w:p>
    <w:p w14:paraId="49A092C7">
      <w:pPr>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方将严格遵守国家相关法律法规，若有下列情形之一的，招标人有权终止合同，并上报行政主管部门，列入不良行为记录名单，在3年内禁止参加市城发集团招投标活动；有违法所得的，并处没收违法所得；情节严重的，由工商行政管理机关吊销营业执照；构成犯罪的，依法追究刑事责任：</w:t>
      </w:r>
    </w:p>
    <w:p w14:paraId="6658D830">
      <w:pPr>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（1）提供虚假材料谋取中标的；</w:t>
      </w:r>
    </w:p>
    <w:p w14:paraId="1D70251A">
      <w:pPr>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（2）采取不正当手段诋毁、排挤其他投标人的；</w:t>
      </w:r>
    </w:p>
    <w:p w14:paraId="4140639B">
      <w:pPr>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（3）与投标人恶意串通的；</w:t>
      </w:r>
    </w:p>
    <w:p w14:paraId="253C8507">
      <w:pPr>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（4）向招标人行贿或者提供其他不正当利益的；</w:t>
      </w:r>
    </w:p>
    <w:p w14:paraId="74B778BB">
      <w:pPr>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（5）未经招标人同意，在招投标过程中与投标人进行协商谈判的；</w:t>
      </w:r>
    </w:p>
    <w:p w14:paraId="57FE989B">
      <w:pPr>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（6）拒绝有关部门监督检查或提供虚假情况的。</w:t>
      </w:r>
    </w:p>
    <w:p w14:paraId="758D7695">
      <w:pPr>
        <w:spacing w:line="400" w:lineRule="exact"/>
        <w:ind w:firstLine="4560" w:firstLineChars="1900"/>
        <w:rPr>
          <w:rFonts w:hint="eastAsia" w:ascii="宋体" w:hAnsi="宋体" w:eastAsia="宋体" w:cs="宋体"/>
          <w:color w:val="auto"/>
          <w:sz w:val="24"/>
          <w:szCs w:val="24"/>
        </w:rPr>
      </w:pPr>
      <w:r>
        <w:rPr>
          <w:rFonts w:hint="eastAsia" w:ascii="宋体" w:hAnsi="宋体" w:eastAsia="宋体" w:cs="宋体"/>
          <w:color w:val="auto"/>
          <w:sz w:val="24"/>
          <w:szCs w:val="24"/>
        </w:rPr>
        <w:t>投标单位（公章）：</w:t>
      </w:r>
    </w:p>
    <w:p w14:paraId="4E51AB51">
      <w:pPr>
        <w:spacing w:line="400" w:lineRule="exact"/>
        <w:ind w:firstLine="2160" w:firstLineChars="900"/>
        <w:rPr>
          <w:rFonts w:hint="eastAsia" w:ascii="宋体" w:hAnsi="宋体" w:eastAsia="宋体" w:cs="宋体"/>
          <w:color w:val="auto"/>
          <w:sz w:val="24"/>
          <w:szCs w:val="24"/>
        </w:rPr>
      </w:pPr>
      <w:r>
        <w:rPr>
          <w:rFonts w:hint="eastAsia" w:ascii="宋体" w:hAnsi="宋体" w:eastAsia="宋体" w:cs="宋体"/>
          <w:color w:val="auto"/>
          <w:sz w:val="24"/>
          <w:szCs w:val="24"/>
        </w:rPr>
        <w:t>法定代表人或委托代理人（签字或盖章）：</w:t>
      </w:r>
    </w:p>
    <w:p w14:paraId="29F476BC">
      <w:pPr>
        <w:spacing w:line="360" w:lineRule="auto"/>
        <w:ind w:firstLine="5040" w:firstLineChars="2100"/>
        <w:jc w:val="left"/>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14:paraId="3E113DC3">
      <w:pPr>
        <w:pStyle w:val="4"/>
        <w:jc w:val="both"/>
        <w:rPr>
          <w:rFonts w:hint="eastAsia" w:ascii="宋体" w:hAnsi="宋体" w:eastAsia="宋体" w:cs="宋体"/>
          <w:b/>
          <w:bCs/>
          <w:color w:val="auto"/>
          <w:sz w:val="24"/>
          <w:szCs w:val="24"/>
        </w:rPr>
      </w:pPr>
    </w:p>
    <w:p w14:paraId="1A2B6503">
      <w:pPr>
        <w:pStyle w:val="4"/>
        <w:numPr>
          <w:ilvl w:val="0"/>
          <w:numId w:val="2"/>
        </w:numPr>
        <w:jc w:val="both"/>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评分办法</w:t>
      </w:r>
    </w:p>
    <w:tbl>
      <w:tblPr>
        <w:tblStyle w:val="10"/>
        <w:tblW w:w="91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19"/>
        <w:gridCol w:w="2355"/>
        <w:gridCol w:w="5340"/>
      </w:tblGrid>
      <w:tr w14:paraId="44A1D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1419" w:type="dxa"/>
            <w:noWrap w:val="0"/>
            <w:vAlign w:val="center"/>
          </w:tcPr>
          <w:p w14:paraId="439A1FC5">
            <w:pPr>
              <w:snapToGrid w:val="0"/>
              <w:spacing w:before="166"/>
              <w:ind w:left="0" w:leftChars="0" w:right="0" w:rightChars="0" w:firstLine="0" w:firstLineChars="0"/>
              <w:jc w:val="center"/>
              <w:rPr>
                <w:b/>
                <w:sz w:val="24"/>
                <w:szCs w:val="24"/>
                <w:lang w:val="zh-CN" w:bidi="zh-CN"/>
              </w:rPr>
            </w:pPr>
            <w:r>
              <w:rPr>
                <w:b/>
                <w:spacing w:val="-1"/>
                <w:sz w:val="24"/>
                <w:szCs w:val="24"/>
                <w:lang w:val="zh-CN" w:bidi="zh-CN"/>
              </w:rPr>
              <w:t>评分类别</w:t>
            </w:r>
          </w:p>
        </w:tc>
        <w:tc>
          <w:tcPr>
            <w:tcW w:w="2355" w:type="dxa"/>
            <w:noWrap w:val="0"/>
            <w:vAlign w:val="center"/>
          </w:tcPr>
          <w:p w14:paraId="2FC60E78">
            <w:pPr>
              <w:snapToGrid w:val="0"/>
              <w:spacing w:before="166"/>
              <w:ind w:left="0" w:leftChars="0" w:right="0" w:rightChars="0" w:firstLine="0" w:firstLineChars="0"/>
              <w:jc w:val="center"/>
              <w:rPr>
                <w:b/>
                <w:sz w:val="24"/>
                <w:szCs w:val="24"/>
                <w:lang w:val="zh-CN" w:bidi="zh-CN"/>
              </w:rPr>
            </w:pPr>
            <w:r>
              <w:rPr>
                <w:b/>
                <w:sz w:val="24"/>
                <w:szCs w:val="24"/>
                <w:lang w:val="zh-CN" w:bidi="zh-CN"/>
              </w:rPr>
              <w:t>评分要素及分值</w:t>
            </w:r>
          </w:p>
        </w:tc>
        <w:tc>
          <w:tcPr>
            <w:tcW w:w="5340" w:type="dxa"/>
            <w:noWrap w:val="0"/>
            <w:vAlign w:val="center"/>
          </w:tcPr>
          <w:p w14:paraId="0D0C9BED">
            <w:pPr>
              <w:snapToGrid w:val="0"/>
              <w:spacing w:before="159"/>
              <w:ind w:left="0" w:leftChars="0" w:right="0" w:rightChars="0" w:firstLine="0" w:firstLineChars="0"/>
              <w:jc w:val="center"/>
              <w:rPr>
                <w:b/>
                <w:sz w:val="24"/>
                <w:szCs w:val="24"/>
                <w:lang w:val="zh-CN" w:bidi="zh-CN"/>
              </w:rPr>
            </w:pPr>
            <w:r>
              <w:rPr>
                <w:b/>
                <w:sz w:val="24"/>
                <w:szCs w:val="24"/>
                <w:lang w:val="zh-CN" w:bidi="zh-CN"/>
              </w:rPr>
              <w:t>具体评审细则</w:t>
            </w:r>
          </w:p>
        </w:tc>
      </w:tr>
      <w:tr w14:paraId="61A1A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19" w:type="dxa"/>
            <w:vMerge w:val="restart"/>
            <w:noWrap w:val="0"/>
            <w:vAlign w:val="center"/>
          </w:tcPr>
          <w:p w14:paraId="3F99A563">
            <w:pPr>
              <w:snapToGrid w:val="0"/>
              <w:spacing w:before="6" w:line="240" w:lineRule="auto"/>
              <w:ind w:left="0" w:leftChars="0" w:right="0" w:rightChars="0" w:firstLine="0" w:firstLineChars="0"/>
              <w:jc w:val="center"/>
              <w:rPr>
                <w:rFonts w:ascii="Calibri" w:eastAsia="宋体"/>
                <w:b/>
                <w:sz w:val="24"/>
                <w:szCs w:val="24"/>
                <w:lang w:val="zh-CN" w:bidi="zh-CN"/>
              </w:rPr>
            </w:pPr>
            <w:r>
              <w:rPr>
                <w:rFonts w:ascii="Calibri" w:eastAsia="宋体"/>
                <w:b/>
                <w:sz w:val="24"/>
                <w:szCs w:val="24"/>
                <w:lang w:val="zh-CN" w:bidi="zh-CN"/>
              </w:rPr>
              <w:t>商</w:t>
            </w:r>
          </w:p>
          <w:p w14:paraId="232CA186">
            <w:pPr>
              <w:snapToGrid w:val="0"/>
              <w:spacing w:before="6" w:line="240" w:lineRule="auto"/>
              <w:ind w:left="0" w:leftChars="0" w:right="0" w:rightChars="0" w:firstLine="0" w:firstLineChars="0"/>
              <w:jc w:val="center"/>
              <w:rPr>
                <w:rFonts w:ascii="Calibri" w:eastAsia="宋体"/>
                <w:b/>
                <w:sz w:val="24"/>
                <w:szCs w:val="24"/>
                <w:lang w:val="zh-CN" w:bidi="zh-CN"/>
              </w:rPr>
            </w:pPr>
            <w:r>
              <w:rPr>
                <w:rFonts w:ascii="Calibri" w:eastAsia="宋体"/>
                <w:b/>
                <w:sz w:val="24"/>
                <w:szCs w:val="24"/>
                <w:lang w:val="zh-CN" w:bidi="zh-CN"/>
              </w:rPr>
              <w:t>务</w:t>
            </w:r>
          </w:p>
          <w:p w14:paraId="671734A3">
            <w:pPr>
              <w:snapToGrid w:val="0"/>
              <w:spacing w:before="20" w:line="240" w:lineRule="auto"/>
              <w:ind w:left="0" w:leftChars="0" w:right="0" w:rightChars="0" w:firstLine="0" w:firstLineChars="0"/>
              <w:jc w:val="center"/>
              <w:rPr>
                <w:rFonts w:ascii="Calibri" w:eastAsia="宋体"/>
                <w:b/>
                <w:sz w:val="24"/>
                <w:szCs w:val="24"/>
                <w:highlight w:val="none"/>
                <w:lang w:val="zh-CN" w:bidi="zh-CN"/>
              </w:rPr>
            </w:pPr>
            <w:r>
              <w:rPr>
                <w:rFonts w:ascii="Calibri" w:eastAsia="宋体"/>
                <w:b/>
                <w:sz w:val="24"/>
                <w:szCs w:val="24"/>
                <w:highlight w:val="none"/>
                <w:lang w:val="zh-CN" w:bidi="zh-CN"/>
              </w:rPr>
              <w:t>标</w:t>
            </w:r>
          </w:p>
          <w:p w14:paraId="187A1FFA">
            <w:pPr>
              <w:snapToGrid w:val="0"/>
              <w:spacing w:before="18" w:line="240" w:lineRule="auto"/>
              <w:ind w:left="0" w:leftChars="0" w:right="0" w:rightChars="0" w:firstLine="0" w:firstLineChars="0"/>
              <w:jc w:val="center"/>
              <w:rPr>
                <w:rFonts w:hint="default" w:ascii="Calibri" w:eastAsia="宋体"/>
                <w:b/>
                <w:sz w:val="24"/>
                <w:szCs w:val="24"/>
                <w:highlight w:val="none"/>
                <w:lang w:val="en-US" w:bidi="zh-CN"/>
              </w:rPr>
            </w:pPr>
            <w:r>
              <w:rPr>
                <w:rFonts w:hint="eastAsia"/>
                <w:b/>
                <w:sz w:val="24"/>
                <w:szCs w:val="24"/>
                <w:highlight w:val="none"/>
                <w:lang w:val="en-US" w:eastAsia="zh-CN" w:bidi="zh-CN"/>
              </w:rPr>
              <w:t>40</w:t>
            </w:r>
          </w:p>
          <w:p w14:paraId="6E5FA63B">
            <w:pPr>
              <w:snapToGrid w:val="0"/>
              <w:spacing w:before="6" w:line="240" w:lineRule="auto"/>
              <w:ind w:left="0" w:leftChars="0" w:right="0" w:rightChars="0" w:firstLine="0" w:firstLineChars="0"/>
              <w:jc w:val="center"/>
              <w:rPr>
                <w:rFonts w:ascii="Calibri" w:eastAsia="宋体"/>
                <w:sz w:val="24"/>
                <w:szCs w:val="24"/>
                <w:lang w:val="zh-CN" w:bidi="zh-CN"/>
              </w:rPr>
            </w:pPr>
            <w:r>
              <w:rPr>
                <w:rFonts w:ascii="Calibri" w:eastAsia="宋体"/>
                <w:b/>
                <w:sz w:val="24"/>
                <w:szCs w:val="24"/>
                <w:lang w:val="zh-CN" w:bidi="zh-CN"/>
              </w:rPr>
              <w:t>分</w:t>
            </w:r>
          </w:p>
        </w:tc>
        <w:tc>
          <w:tcPr>
            <w:tcW w:w="2355" w:type="dxa"/>
            <w:noWrap w:val="0"/>
            <w:vAlign w:val="center"/>
          </w:tcPr>
          <w:p w14:paraId="46476220">
            <w:pPr>
              <w:snapToGrid w:val="0"/>
              <w:spacing w:before="19"/>
              <w:ind w:left="0" w:leftChars="0" w:right="0" w:rightChars="0" w:firstLine="0" w:firstLineChars="0"/>
              <w:jc w:val="center"/>
              <w:rPr>
                <w:rFonts w:ascii="Calibri" w:eastAsia="宋体"/>
                <w:b w:val="0"/>
                <w:bCs/>
                <w:sz w:val="24"/>
                <w:szCs w:val="24"/>
                <w:highlight w:val="none"/>
                <w:lang w:val="zh-CN" w:bidi="zh-CN"/>
              </w:rPr>
            </w:pPr>
            <w:r>
              <w:rPr>
                <w:rFonts w:ascii="Calibri" w:eastAsia="宋体"/>
                <w:b w:val="0"/>
                <w:bCs/>
                <w:sz w:val="24"/>
                <w:szCs w:val="24"/>
                <w:highlight w:val="none"/>
                <w:lang w:val="zh-CN" w:bidi="zh-CN"/>
              </w:rPr>
              <w:t>投标报价</w:t>
            </w:r>
          </w:p>
          <w:p w14:paraId="6E5D0F97">
            <w:pPr>
              <w:snapToGrid w:val="0"/>
              <w:spacing w:before="17"/>
              <w:ind w:left="0" w:leftChars="0" w:right="0" w:rightChars="0" w:firstLine="0" w:firstLineChars="0"/>
              <w:jc w:val="center"/>
              <w:rPr>
                <w:rFonts w:ascii="Calibri" w:eastAsia="宋体"/>
                <w:b/>
                <w:sz w:val="24"/>
                <w:szCs w:val="24"/>
                <w:highlight w:val="none"/>
                <w:lang w:val="zh-CN" w:bidi="zh-CN"/>
              </w:rPr>
            </w:pPr>
            <w:r>
              <w:rPr>
                <w:rFonts w:hint="eastAsia" w:ascii="Calibri" w:eastAsia="宋体"/>
                <w:b w:val="0"/>
                <w:bCs/>
                <w:sz w:val="24"/>
                <w:szCs w:val="24"/>
                <w:highlight w:val="none"/>
                <w:lang w:val="zh-CN" w:bidi="zh-CN"/>
              </w:rPr>
              <w:t>（</w:t>
            </w:r>
            <w:r>
              <w:rPr>
                <w:rFonts w:hint="eastAsia"/>
                <w:b w:val="0"/>
                <w:bCs/>
                <w:sz w:val="24"/>
                <w:szCs w:val="24"/>
                <w:highlight w:val="none"/>
                <w:lang w:val="en-US" w:bidi="zh-CN"/>
              </w:rPr>
              <w:t>3</w:t>
            </w:r>
            <w:r>
              <w:rPr>
                <w:rFonts w:hint="eastAsia" w:ascii="Calibri" w:eastAsia="宋体"/>
                <w:b w:val="0"/>
                <w:bCs/>
                <w:sz w:val="24"/>
                <w:szCs w:val="24"/>
                <w:highlight w:val="none"/>
                <w:lang w:val="en-US" w:bidi="zh-CN"/>
              </w:rPr>
              <w:t>0分</w:t>
            </w:r>
            <w:r>
              <w:rPr>
                <w:rFonts w:hint="eastAsia" w:ascii="Calibri" w:eastAsia="宋体"/>
                <w:b w:val="0"/>
                <w:bCs/>
                <w:sz w:val="24"/>
                <w:szCs w:val="24"/>
                <w:highlight w:val="none"/>
                <w:lang w:val="zh-CN" w:bidi="zh-CN"/>
              </w:rPr>
              <w:t>）</w:t>
            </w:r>
          </w:p>
        </w:tc>
        <w:tc>
          <w:tcPr>
            <w:tcW w:w="5340" w:type="dxa"/>
            <w:noWrap w:val="0"/>
            <w:vAlign w:val="center"/>
          </w:tcPr>
          <w:p w14:paraId="43266926">
            <w:pPr>
              <w:snapToGrid w:val="0"/>
              <w:spacing w:before="25"/>
              <w:ind w:left="0" w:leftChars="0" w:right="0" w:rightChars="0" w:firstLine="0" w:firstLineChars="0"/>
              <w:jc w:val="left"/>
              <w:rPr>
                <w:rFonts w:ascii="Calibri" w:eastAsia="宋体"/>
                <w:sz w:val="24"/>
                <w:szCs w:val="24"/>
                <w:highlight w:val="none"/>
                <w:lang w:val="zh-CN" w:eastAsia="zh-CN" w:bidi="zh-CN"/>
              </w:rPr>
            </w:pPr>
            <w:r>
              <w:rPr>
                <w:rFonts w:ascii="Calibri" w:eastAsia="宋体"/>
                <w:b/>
                <w:sz w:val="24"/>
                <w:szCs w:val="24"/>
                <w:highlight w:val="none"/>
                <w:lang w:val="zh-CN" w:eastAsia="zh-CN" w:bidi="zh-CN"/>
              </w:rPr>
              <w:t xml:space="preserve">1、满足招标文件规定且在招标控制价以内的有效报价得基本分 </w:t>
            </w:r>
            <w:r>
              <w:rPr>
                <w:rFonts w:hint="eastAsia" w:ascii="Calibri" w:eastAsia="宋体"/>
                <w:b/>
                <w:sz w:val="24"/>
                <w:szCs w:val="24"/>
                <w:highlight w:val="none"/>
                <w:lang w:val="zh-CN" w:eastAsia="zh-CN" w:bidi="zh-CN"/>
              </w:rPr>
              <w:t>2</w:t>
            </w:r>
            <w:r>
              <w:rPr>
                <w:rFonts w:ascii="Calibri" w:eastAsia="宋体"/>
                <w:b/>
                <w:sz w:val="24"/>
                <w:szCs w:val="24"/>
                <w:highlight w:val="none"/>
                <w:lang w:val="zh-CN" w:eastAsia="zh-CN" w:bidi="zh-CN"/>
              </w:rPr>
              <w:t>0 分</w:t>
            </w:r>
          </w:p>
          <w:p w14:paraId="295DA1D5">
            <w:pPr>
              <w:snapToGrid w:val="0"/>
              <w:spacing w:before="26"/>
              <w:ind w:left="0" w:leftChars="0" w:right="0" w:rightChars="0" w:firstLine="0" w:firstLineChars="0"/>
              <w:jc w:val="left"/>
              <w:rPr>
                <w:rFonts w:ascii="Calibri" w:eastAsia="宋体"/>
                <w:b/>
                <w:sz w:val="24"/>
                <w:szCs w:val="24"/>
                <w:highlight w:val="none"/>
                <w:lang w:val="zh-CN" w:eastAsia="zh-CN" w:bidi="zh-CN"/>
              </w:rPr>
            </w:pPr>
            <w:r>
              <w:rPr>
                <w:rFonts w:ascii="Calibri" w:eastAsia="宋体"/>
                <w:b/>
                <w:sz w:val="24"/>
                <w:szCs w:val="24"/>
                <w:highlight w:val="none"/>
                <w:lang w:val="zh-CN" w:eastAsia="zh-CN" w:bidi="zh-CN"/>
              </w:rPr>
              <w:t>2、竞争分 20 分按以下标准评审：</w:t>
            </w:r>
          </w:p>
          <w:p w14:paraId="35345DF5">
            <w:pPr>
              <w:snapToGrid w:val="0"/>
              <w:spacing w:before="26"/>
              <w:ind w:left="0" w:leftChars="0" w:right="0" w:rightChars="0" w:firstLine="0" w:firstLineChars="0"/>
              <w:jc w:val="left"/>
              <w:rPr>
                <w:rFonts w:ascii="Calibri" w:eastAsia="宋体"/>
                <w:sz w:val="24"/>
                <w:szCs w:val="24"/>
                <w:highlight w:val="none"/>
                <w:lang w:val="zh-CN" w:eastAsia="zh-CN" w:bidi="zh-CN"/>
              </w:rPr>
            </w:pPr>
            <w:r>
              <w:rPr>
                <w:rFonts w:ascii="Calibri" w:eastAsia="宋体"/>
                <w:sz w:val="24"/>
                <w:szCs w:val="24"/>
                <w:highlight w:val="none"/>
                <w:lang w:val="zh-CN" w:eastAsia="zh-CN" w:bidi="zh-CN"/>
              </w:rPr>
              <w:t xml:space="preserve">F＝20- （投标人评标价-评标基准价）÷评标基准价×100×1（评标价＞基准价时） </w:t>
            </w:r>
          </w:p>
          <w:p w14:paraId="542DE569">
            <w:pPr>
              <w:snapToGrid w:val="0"/>
              <w:spacing w:before="47"/>
              <w:ind w:left="0" w:leftChars="0" w:right="0" w:rightChars="0" w:firstLine="0" w:firstLineChars="0"/>
              <w:jc w:val="left"/>
              <w:rPr>
                <w:rFonts w:ascii="Calibri" w:eastAsia="宋体"/>
                <w:sz w:val="24"/>
                <w:szCs w:val="24"/>
                <w:highlight w:val="none"/>
                <w:lang w:val="zh-CN" w:eastAsia="zh-CN" w:bidi="zh-CN"/>
              </w:rPr>
            </w:pPr>
            <w:r>
              <w:rPr>
                <w:rFonts w:ascii="Calibri" w:eastAsia="宋体"/>
                <w:sz w:val="24"/>
                <w:szCs w:val="24"/>
                <w:highlight w:val="none"/>
                <w:lang w:val="zh-CN" w:eastAsia="zh-CN" w:bidi="zh-CN"/>
              </w:rPr>
              <w:t xml:space="preserve">F＝20- （评标基准价-投标人评标价）÷评标基准价×100×0.5（评标价≤基准价时） </w:t>
            </w:r>
          </w:p>
          <w:p w14:paraId="0CE8436D">
            <w:pPr>
              <w:snapToGrid w:val="0"/>
              <w:ind w:left="0" w:leftChars="0" w:right="0" w:rightChars="0" w:firstLine="0" w:firstLineChars="0"/>
              <w:jc w:val="left"/>
              <w:rPr>
                <w:rFonts w:ascii="Calibri" w:eastAsia="宋体"/>
                <w:b/>
                <w:sz w:val="24"/>
                <w:szCs w:val="24"/>
                <w:highlight w:val="none"/>
                <w:lang w:val="zh-CN" w:eastAsia="zh-CN" w:bidi="zh-CN"/>
              </w:rPr>
            </w:pPr>
            <w:r>
              <w:rPr>
                <w:rFonts w:ascii="Calibri" w:eastAsia="宋体"/>
                <w:sz w:val="24"/>
                <w:szCs w:val="24"/>
                <w:highlight w:val="none"/>
                <w:lang w:val="zh-CN" w:eastAsia="zh-CN" w:bidi="zh-CN"/>
              </w:rPr>
              <w:t xml:space="preserve">其中：商务标 F≥0。 评标基准价计算方法：以所有有效最终投标报价的算术平 均值作为评标基准价，如有效的最终投标报价大于等于5家时，则去掉最高报价和最低报价后的算术平均值作为评标基准价。（最终计算结果得分值精确到小数点后二位，第三位四舍五入） </w:t>
            </w:r>
          </w:p>
        </w:tc>
      </w:tr>
      <w:tr w14:paraId="5F46B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19" w:type="dxa"/>
            <w:vMerge w:val="continue"/>
            <w:noWrap w:val="0"/>
            <w:vAlign w:val="center"/>
          </w:tcPr>
          <w:p w14:paraId="2A778511">
            <w:pPr>
              <w:snapToGrid w:val="0"/>
              <w:spacing w:before="6" w:line="240" w:lineRule="auto"/>
              <w:ind w:left="0" w:leftChars="0" w:right="0" w:rightChars="0" w:firstLine="0" w:firstLineChars="0"/>
              <w:jc w:val="center"/>
              <w:rPr>
                <w:rFonts w:hint="default" w:ascii="Calibri" w:eastAsia="宋体"/>
                <w:b/>
                <w:sz w:val="24"/>
                <w:szCs w:val="24"/>
                <w:lang w:val="en-US" w:bidi="zh-CN"/>
              </w:rPr>
            </w:pPr>
          </w:p>
        </w:tc>
        <w:tc>
          <w:tcPr>
            <w:tcW w:w="2355" w:type="dxa"/>
            <w:noWrap w:val="0"/>
            <w:vAlign w:val="center"/>
          </w:tcPr>
          <w:p w14:paraId="25CE87AA">
            <w:pPr>
              <w:widowControl/>
              <w:jc w:val="center"/>
              <w:rPr>
                <w:rFonts w:hint="eastAsia" w:ascii="宋体" w:hAnsi="宋体" w:cs="宋体"/>
                <w:kern w:val="0"/>
                <w:sz w:val="24"/>
                <w:highlight w:val="none"/>
                <w:lang w:bidi="ar"/>
              </w:rPr>
            </w:pPr>
            <w:r>
              <w:rPr>
                <w:rFonts w:hint="eastAsia" w:ascii="宋体" w:hAnsi="宋体" w:cs="宋体"/>
                <w:kern w:val="0"/>
                <w:sz w:val="24"/>
                <w:highlight w:val="none"/>
                <w:lang w:bidi="ar"/>
              </w:rPr>
              <w:t>体系认证</w:t>
            </w:r>
          </w:p>
          <w:p w14:paraId="0B20BC98">
            <w:pPr>
              <w:widowControl/>
              <w:jc w:val="center"/>
              <w:rPr>
                <w:rFonts w:hint="eastAsia" w:ascii="宋体" w:hAnsi="宋体" w:eastAsia="宋体" w:cs="宋体"/>
                <w:kern w:val="0"/>
                <w:sz w:val="24"/>
                <w:szCs w:val="24"/>
                <w:highlight w:val="none"/>
                <w:lang w:val="zh-CN" w:eastAsia="zh-CN" w:bidi="ar"/>
              </w:rPr>
            </w:pPr>
            <w:r>
              <w:rPr>
                <w:rFonts w:hint="eastAsia" w:ascii="宋体" w:hAnsi="宋体" w:cs="宋体"/>
                <w:kern w:val="0"/>
                <w:sz w:val="24"/>
                <w:highlight w:val="none"/>
                <w:lang w:val="en-US" w:eastAsia="zh-CN" w:bidi="ar"/>
              </w:rPr>
              <w:t>（6</w:t>
            </w:r>
            <w:r>
              <w:rPr>
                <w:rFonts w:hint="eastAsia" w:ascii="宋体" w:hAnsi="宋体" w:cs="宋体"/>
                <w:kern w:val="0"/>
                <w:sz w:val="24"/>
                <w:highlight w:val="none"/>
                <w:lang w:bidi="ar"/>
              </w:rPr>
              <w:t>分</w:t>
            </w:r>
            <w:r>
              <w:rPr>
                <w:rFonts w:hint="eastAsia" w:ascii="宋体" w:hAnsi="宋体" w:cs="宋体"/>
                <w:kern w:val="0"/>
                <w:sz w:val="24"/>
                <w:highlight w:val="none"/>
                <w:lang w:val="en-US" w:eastAsia="zh-CN" w:bidi="ar"/>
              </w:rPr>
              <w:t>）</w:t>
            </w:r>
          </w:p>
        </w:tc>
        <w:tc>
          <w:tcPr>
            <w:tcW w:w="5340" w:type="dxa"/>
            <w:noWrap w:val="0"/>
            <w:vAlign w:val="center"/>
          </w:tcPr>
          <w:p w14:paraId="712291A3">
            <w:pPr>
              <w:spacing w:line="360" w:lineRule="auto"/>
              <w:jc w:val="left"/>
              <w:rPr>
                <w:rFonts w:hint="eastAsia" w:ascii="宋体" w:hAnsi="宋体" w:eastAsia="宋体" w:cs="宋体"/>
                <w:bCs/>
                <w:kern w:val="2"/>
                <w:sz w:val="24"/>
                <w:szCs w:val="24"/>
                <w:highlight w:val="none"/>
                <w:lang w:val="zh-CN" w:eastAsia="zh-CN" w:bidi="ar-SA"/>
              </w:rPr>
            </w:pPr>
            <w:r>
              <w:rPr>
                <w:rFonts w:hint="eastAsia" w:ascii="宋体" w:hAnsi="宋体" w:cs="宋体"/>
                <w:bCs/>
                <w:sz w:val="24"/>
                <w:highlight w:val="none"/>
              </w:rPr>
              <w:t>具有由国家认证认可的监督管理部门批准设立的认证机构颁发并在有效期内的认证证书：质量管理体系认证证书、环境管理体系认证证书、职业健康管理体系认证证书，</w:t>
            </w:r>
            <w:r>
              <w:rPr>
                <w:rFonts w:hint="eastAsia" w:ascii="宋体" w:hAnsi="宋体" w:cs="宋体"/>
                <w:spacing w:val="-5"/>
                <w:sz w:val="24"/>
                <w:highlight w:val="none"/>
              </w:rPr>
              <w:t>最高得</w:t>
            </w:r>
            <w:r>
              <w:rPr>
                <w:rFonts w:hint="eastAsia" w:ascii="宋体" w:hAnsi="宋体" w:cs="宋体"/>
                <w:spacing w:val="-5"/>
                <w:sz w:val="24"/>
                <w:highlight w:val="none"/>
                <w:lang w:val="en-US" w:eastAsia="zh-CN"/>
              </w:rPr>
              <w:t>6</w:t>
            </w:r>
            <w:r>
              <w:rPr>
                <w:rFonts w:hint="eastAsia" w:ascii="宋体" w:hAnsi="宋体" w:cs="宋体"/>
                <w:spacing w:val="-5"/>
                <w:sz w:val="24"/>
                <w:highlight w:val="none"/>
              </w:rPr>
              <w:t>分，缺少任意项、</w:t>
            </w:r>
            <w:r>
              <w:rPr>
                <w:rFonts w:hint="eastAsia" w:ascii="宋体" w:hAnsi="宋体" w:cs="宋体"/>
                <w:bCs/>
                <w:sz w:val="24"/>
                <w:highlight w:val="none"/>
              </w:rPr>
              <w:t>无认证或不在有效期内的不得分。（须提供国家市场监督管理总局全国认证认可信息公共服务平台查询截图，否则不得分）</w:t>
            </w:r>
          </w:p>
        </w:tc>
      </w:tr>
      <w:tr w14:paraId="5A989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19" w:type="dxa"/>
            <w:vMerge w:val="continue"/>
            <w:noWrap w:val="0"/>
            <w:vAlign w:val="center"/>
          </w:tcPr>
          <w:p w14:paraId="59F76977">
            <w:pPr>
              <w:snapToGrid w:val="0"/>
              <w:spacing w:before="6" w:line="240" w:lineRule="auto"/>
              <w:ind w:left="0" w:leftChars="0" w:right="0" w:rightChars="0" w:firstLine="0" w:firstLineChars="0"/>
              <w:jc w:val="center"/>
              <w:rPr>
                <w:rFonts w:hint="default" w:ascii="Calibri" w:eastAsia="宋体"/>
                <w:b/>
                <w:sz w:val="24"/>
                <w:szCs w:val="24"/>
                <w:lang w:val="en-US" w:bidi="zh-CN"/>
              </w:rPr>
            </w:pPr>
          </w:p>
        </w:tc>
        <w:tc>
          <w:tcPr>
            <w:tcW w:w="2355" w:type="dxa"/>
            <w:noWrap w:val="0"/>
            <w:vAlign w:val="center"/>
          </w:tcPr>
          <w:p w14:paraId="3DAAF783">
            <w:pPr>
              <w:widowControl/>
              <w:jc w:val="center"/>
              <w:rPr>
                <w:rFonts w:hint="eastAsia" w:ascii="宋体" w:hAnsi="宋体" w:cs="宋体"/>
                <w:kern w:val="0"/>
                <w:sz w:val="24"/>
                <w:highlight w:val="none"/>
                <w:lang w:val="en-US" w:eastAsia="zh-CN" w:bidi="ar"/>
              </w:rPr>
            </w:pPr>
            <w:r>
              <w:rPr>
                <w:rFonts w:hint="eastAsia" w:ascii="宋体" w:hAnsi="宋体" w:cs="宋体"/>
                <w:kern w:val="0"/>
                <w:sz w:val="24"/>
                <w:highlight w:val="none"/>
                <w:lang w:val="en-US" w:eastAsia="zh-CN" w:bidi="ar"/>
              </w:rPr>
              <w:t>公司实力</w:t>
            </w:r>
          </w:p>
          <w:p w14:paraId="73B97911">
            <w:pPr>
              <w:widowControl/>
              <w:jc w:val="center"/>
              <w:rPr>
                <w:rFonts w:hint="default" w:ascii="宋体" w:hAnsi="宋体" w:cs="宋体"/>
                <w:kern w:val="0"/>
                <w:sz w:val="24"/>
                <w:highlight w:val="none"/>
                <w:lang w:val="en-US" w:eastAsia="zh-CN" w:bidi="ar"/>
              </w:rPr>
            </w:pPr>
            <w:r>
              <w:rPr>
                <w:rFonts w:hint="eastAsia" w:ascii="宋体" w:hAnsi="宋体" w:cs="宋体"/>
                <w:kern w:val="0"/>
                <w:sz w:val="24"/>
                <w:highlight w:val="none"/>
                <w:lang w:val="en-US" w:eastAsia="zh-CN" w:bidi="ar"/>
              </w:rPr>
              <w:t>(</w:t>
            </w:r>
            <w:r>
              <w:rPr>
                <w:rFonts w:hint="eastAsia"/>
                <w:spacing w:val="-5"/>
                <w:sz w:val="24"/>
                <w:highlight w:val="none"/>
              </w:rPr>
              <w:t>4分</w:t>
            </w:r>
            <w:r>
              <w:rPr>
                <w:rFonts w:hint="eastAsia" w:ascii="宋体" w:hAnsi="宋体" w:cs="宋体"/>
                <w:kern w:val="0"/>
                <w:sz w:val="24"/>
                <w:highlight w:val="none"/>
                <w:lang w:val="en-US" w:eastAsia="zh-CN" w:bidi="ar"/>
              </w:rPr>
              <w:t>)</w:t>
            </w:r>
          </w:p>
        </w:tc>
        <w:tc>
          <w:tcPr>
            <w:tcW w:w="5340" w:type="dxa"/>
            <w:noWrap w:val="0"/>
            <w:vAlign w:val="center"/>
          </w:tcPr>
          <w:p w14:paraId="4C43A0D1">
            <w:pPr>
              <w:spacing w:line="360" w:lineRule="auto"/>
              <w:jc w:val="left"/>
              <w:rPr>
                <w:rFonts w:hint="eastAsia" w:ascii="宋体" w:hAnsi="宋体" w:cs="宋体"/>
                <w:bCs/>
                <w:sz w:val="24"/>
                <w:highlight w:val="none"/>
              </w:rPr>
            </w:pPr>
            <w:r>
              <w:rPr>
                <w:rFonts w:hint="eastAsia"/>
                <w:spacing w:val="-5"/>
                <w:sz w:val="24"/>
                <w:highlight w:val="none"/>
              </w:rPr>
              <w:t>投标人具有</w:t>
            </w:r>
            <w:r>
              <w:rPr>
                <w:rFonts w:hint="eastAsia"/>
                <w:spacing w:val="-5"/>
                <w:sz w:val="24"/>
                <w:highlight w:val="none"/>
                <w:lang w:val="en-US" w:eastAsia="zh-CN"/>
              </w:rPr>
              <w:t>在有效期内的承装（修、试）电力设施许五级及以上可证</w:t>
            </w:r>
            <w:r>
              <w:rPr>
                <w:rFonts w:hint="eastAsia"/>
                <w:spacing w:val="-5"/>
                <w:sz w:val="24"/>
                <w:highlight w:val="none"/>
              </w:rPr>
              <w:t>得4分。</w:t>
            </w:r>
          </w:p>
        </w:tc>
      </w:tr>
      <w:tr w14:paraId="292E1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19" w:type="dxa"/>
            <w:vMerge w:val="restart"/>
            <w:noWrap w:val="0"/>
            <w:vAlign w:val="center"/>
          </w:tcPr>
          <w:p w14:paraId="201EE7B5">
            <w:pPr>
              <w:snapToGrid w:val="0"/>
              <w:spacing w:before="22" w:line="240" w:lineRule="auto"/>
              <w:ind w:left="0" w:leftChars="0" w:right="0" w:rightChars="0" w:firstLine="0" w:firstLineChars="0"/>
              <w:jc w:val="center"/>
              <w:rPr>
                <w:rFonts w:ascii="Calibri" w:eastAsia="宋体"/>
                <w:sz w:val="24"/>
                <w:szCs w:val="24"/>
                <w:lang w:val="zh-CN" w:bidi="zh-CN"/>
              </w:rPr>
            </w:pPr>
            <w:r>
              <w:rPr>
                <w:rFonts w:ascii="Calibri" w:eastAsia="宋体"/>
                <w:b/>
                <w:sz w:val="24"/>
                <w:szCs w:val="24"/>
                <w:lang w:val="zh-CN" w:bidi="zh-CN"/>
              </w:rPr>
              <w:t>技术标</w:t>
            </w:r>
          </w:p>
          <w:p w14:paraId="6D32B0DE">
            <w:pPr>
              <w:snapToGrid w:val="0"/>
              <w:spacing w:before="4" w:line="240" w:lineRule="auto"/>
              <w:ind w:left="0" w:leftChars="0" w:right="0" w:rightChars="0" w:firstLine="0" w:firstLineChars="0"/>
              <w:jc w:val="center"/>
              <w:rPr>
                <w:rFonts w:ascii="Calibri" w:eastAsia="宋体"/>
                <w:b/>
                <w:sz w:val="24"/>
                <w:szCs w:val="24"/>
                <w:lang w:val="zh-CN" w:bidi="zh-CN"/>
              </w:rPr>
            </w:pPr>
            <w:r>
              <w:rPr>
                <w:rFonts w:hint="eastAsia" w:ascii="Calibri" w:eastAsia="宋体"/>
                <w:b/>
                <w:sz w:val="24"/>
                <w:szCs w:val="24"/>
                <w:lang w:val="en-US" w:bidi="zh-CN"/>
              </w:rPr>
              <w:t>4</w:t>
            </w:r>
            <w:r>
              <w:rPr>
                <w:rFonts w:ascii="Calibri" w:eastAsia="宋体"/>
                <w:b/>
                <w:sz w:val="24"/>
                <w:szCs w:val="24"/>
                <w:lang w:val="zh-CN" w:bidi="zh-CN"/>
              </w:rPr>
              <w:t>0</w:t>
            </w:r>
          </w:p>
          <w:p w14:paraId="2B6AD895">
            <w:pPr>
              <w:snapToGrid w:val="0"/>
              <w:spacing w:before="4" w:line="240" w:lineRule="auto"/>
              <w:ind w:left="0" w:leftChars="0" w:right="0" w:rightChars="0" w:firstLine="0" w:firstLineChars="0"/>
              <w:jc w:val="center"/>
              <w:rPr>
                <w:rFonts w:ascii="Calibri" w:eastAsia="宋体"/>
                <w:sz w:val="24"/>
                <w:szCs w:val="24"/>
                <w:lang w:val="zh-CN" w:bidi="zh-CN"/>
              </w:rPr>
            </w:pPr>
            <w:r>
              <w:rPr>
                <w:rFonts w:ascii="Calibri" w:eastAsia="宋体"/>
                <w:b/>
                <w:sz w:val="24"/>
                <w:szCs w:val="24"/>
                <w:lang w:val="zh-CN" w:bidi="zh-CN"/>
              </w:rPr>
              <w:t>分</w:t>
            </w:r>
          </w:p>
        </w:tc>
        <w:tc>
          <w:tcPr>
            <w:tcW w:w="2355" w:type="dxa"/>
            <w:noWrap w:val="0"/>
            <w:vAlign w:val="center"/>
          </w:tcPr>
          <w:p w14:paraId="22E8B382">
            <w:pPr>
              <w:snapToGrid w:val="0"/>
              <w:spacing w:before="17"/>
              <w:ind w:left="0" w:leftChars="0" w:right="0" w:rightChars="0" w:firstLine="0" w:firstLineChars="0"/>
              <w:jc w:val="center"/>
              <w:rPr>
                <w:rFonts w:ascii="Calibri" w:eastAsia="宋体"/>
                <w:sz w:val="24"/>
                <w:szCs w:val="24"/>
                <w:lang w:val="zh-CN" w:bidi="zh-CN"/>
              </w:rPr>
            </w:pPr>
            <w:r>
              <w:rPr>
                <w:rFonts w:ascii="Calibri" w:eastAsia="宋体"/>
                <w:sz w:val="24"/>
                <w:szCs w:val="24"/>
                <w:lang w:val="zh-CN" w:bidi="zh-CN"/>
              </w:rPr>
              <w:t>施工组织设计</w:t>
            </w:r>
          </w:p>
          <w:p w14:paraId="2B680F92">
            <w:pPr>
              <w:snapToGrid w:val="0"/>
              <w:spacing w:before="17"/>
              <w:ind w:left="0" w:leftChars="0" w:right="0" w:rightChars="0" w:firstLine="0" w:firstLineChars="0"/>
              <w:jc w:val="center"/>
              <w:rPr>
                <w:rFonts w:ascii="Calibri" w:eastAsia="宋体"/>
                <w:sz w:val="24"/>
                <w:szCs w:val="24"/>
                <w:lang w:val="zh-CN" w:bidi="zh-CN"/>
              </w:rPr>
            </w:pPr>
            <w:r>
              <w:rPr>
                <w:rFonts w:ascii="Calibri" w:eastAsia="宋体"/>
                <w:sz w:val="24"/>
                <w:szCs w:val="24"/>
                <w:lang w:val="zh-CN" w:bidi="zh-CN"/>
              </w:rPr>
              <w:t>（</w:t>
            </w:r>
            <w:r>
              <w:rPr>
                <w:rFonts w:hint="eastAsia" w:ascii="Calibri" w:eastAsia="宋体"/>
                <w:sz w:val="24"/>
                <w:szCs w:val="24"/>
                <w:lang w:val="en-US" w:bidi="zh-CN"/>
              </w:rPr>
              <w:t>10</w:t>
            </w:r>
            <w:r>
              <w:rPr>
                <w:rFonts w:ascii="Calibri" w:eastAsia="宋体"/>
                <w:sz w:val="24"/>
                <w:szCs w:val="24"/>
                <w:lang w:val="zh-CN" w:bidi="zh-CN"/>
              </w:rPr>
              <w:t xml:space="preserve"> 分）</w:t>
            </w:r>
          </w:p>
        </w:tc>
        <w:tc>
          <w:tcPr>
            <w:tcW w:w="5340" w:type="dxa"/>
            <w:noWrap w:val="0"/>
            <w:vAlign w:val="center"/>
          </w:tcPr>
          <w:p w14:paraId="72CEB15A">
            <w:pPr>
              <w:snapToGrid w:val="0"/>
              <w:spacing w:before="72"/>
              <w:ind w:left="0" w:leftChars="0" w:right="0" w:rightChars="0" w:firstLine="0" w:firstLineChars="0"/>
              <w:jc w:val="left"/>
              <w:rPr>
                <w:rFonts w:ascii="Calibri" w:eastAsia="宋体"/>
                <w:sz w:val="24"/>
                <w:szCs w:val="24"/>
                <w:lang w:val="zh-CN" w:eastAsia="zh-CN" w:bidi="zh-CN"/>
              </w:rPr>
            </w:pPr>
            <w:r>
              <w:rPr>
                <w:rFonts w:ascii="Calibri" w:eastAsia="宋体"/>
                <w:sz w:val="24"/>
                <w:szCs w:val="24"/>
                <w:lang w:val="zh-CN" w:eastAsia="zh-CN" w:bidi="zh-CN"/>
              </w:rPr>
              <w:t>施工组织设计的针对性、完整性（如施工组织设计基本内容</w:t>
            </w:r>
            <w:r>
              <w:rPr>
                <w:rFonts w:ascii="Calibri" w:eastAsia="宋体"/>
                <w:spacing w:val="-3"/>
                <w:sz w:val="24"/>
                <w:szCs w:val="24"/>
                <w:lang w:val="zh-CN" w:eastAsia="zh-CN" w:bidi="zh-CN"/>
              </w:rPr>
              <w:t>缺项，该项可打零分）</w:t>
            </w:r>
            <w:r>
              <w:rPr>
                <w:rFonts w:hint="eastAsia" w:ascii="Calibri" w:eastAsia="宋体"/>
                <w:spacing w:val="-3"/>
                <w:sz w:val="24"/>
                <w:szCs w:val="24"/>
                <w:lang w:val="zh-CN" w:eastAsia="zh-CN" w:bidi="zh-CN"/>
              </w:rPr>
              <w:t>。</w:t>
            </w:r>
          </w:p>
        </w:tc>
      </w:tr>
      <w:tr w14:paraId="37164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19" w:type="dxa"/>
            <w:vMerge w:val="continue"/>
            <w:noWrap w:val="0"/>
            <w:vAlign w:val="center"/>
          </w:tcPr>
          <w:p w14:paraId="507359A9">
            <w:pPr>
              <w:snapToGrid w:val="0"/>
              <w:ind w:left="0" w:leftChars="0" w:right="0" w:rightChars="0" w:firstLine="0" w:firstLineChars="0"/>
              <w:jc w:val="center"/>
              <w:rPr>
                <w:rFonts w:ascii="Calibri" w:eastAsia="宋体"/>
                <w:sz w:val="24"/>
                <w:szCs w:val="24"/>
                <w:lang w:val="zh-CN" w:eastAsia="zh-CN" w:bidi="zh-CN"/>
              </w:rPr>
            </w:pPr>
          </w:p>
        </w:tc>
        <w:tc>
          <w:tcPr>
            <w:tcW w:w="2355" w:type="dxa"/>
            <w:noWrap w:val="0"/>
            <w:vAlign w:val="center"/>
          </w:tcPr>
          <w:p w14:paraId="3EF7A5D3">
            <w:pPr>
              <w:snapToGrid w:val="0"/>
              <w:ind w:left="0" w:leftChars="0" w:right="0" w:rightChars="0" w:firstLine="0" w:firstLineChars="0"/>
              <w:jc w:val="center"/>
              <w:rPr>
                <w:rFonts w:ascii="Calibri" w:eastAsia="宋体"/>
                <w:sz w:val="24"/>
                <w:szCs w:val="24"/>
                <w:lang w:val="zh-CN" w:eastAsia="zh-CN" w:bidi="zh-CN"/>
              </w:rPr>
            </w:pPr>
            <w:r>
              <w:rPr>
                <w:rFonts w:ascii="Calibri" w:eastAsia="宋体"/>
                <w:sz w:val="24"/>
                <w:szCs w:val="24"/>
                <w:lang w:val="zh-CN" w:eastAsia="zh-CN" w:bidi="zh-CN"/>
              </w:rPr>
              <w:t>劳动力安排计划</w:t>
            </w:r>
          </w:p>
          <w:p w14:paraId="090EB92F">
            <w:pPr>
              <w:snapToGrid w:val="0"/>
              <w:ind w:left="0" w:leftChars="0" w:right="0" w:rightChars="0" w:firstLine="0" w:firstLineChars="0"/>
              <w:jc w:val="center"/>
              <w:rPr>
                <w:rFonts w:ascii="Calibri" w:eastAsia="宋体"/>
                <w:sz w:val="24"/>
                <w:szCs w:val="24"/>
                <w:lang w:val="zh-CN" w:eastAsia="zh-CN" w:bidi="zh-CN"/>
              </w:rPr>
            </w:pPr>
            <w:r>
              <w:rPr>
                <w:rFonts w:ascii="Calibri" w:eastAsia="宋体"/>
                <w:sz w:val="24"/>
                <w:szCs w:val="24"/>
                <w:lang w:val="zh-CN" w:eastAsia="zh-CN" w:bidi="zh-CN"/>
              </w:rPr>
              <w:t>（</w:t>
            </w:r>
            <w:r>
              <w:rPr>
                <w:rFonts w:hint="eastAsia" w:ascii="Calibri" w:eastAsia="宋体"/>
                <w:sz w:val="24"/>
                <w:szCs w:val="24"/>
                <w:lang w:val="en-US" w:eastAsia="zh-CN" w:bidi="zh-CN"/>
              </w:rPr>
              <w:t>5</w:t>
            </w:r>
            <w:r>
              <w:rPr>
                <w:rFonts w:ascii="Calibri" w:eastAsia="宋体"/>
                <w:sz w:val="24"/>
                <w:szCs w:val="24"/>
                <w:lang w:val="zh-CN" w:eastAsia="zh-CN" w:bidi="zh-CN"/>
              </w:rPr>
              <w:t xml:space="preserve"> 分）</w:t>
            </w:r>
          </w:p>
        </w:tc>
        <w:tc>
          <w:tcPr>
            <w:tcW w:w="5340" w:type="dxa"/>
            <w:noWrap w:val="0"/>
            <w:vAlign w:val="center"/>
          </w:tcPr>
          <w:p w14:paraId="0418D5D8">
            <w:pPr>
              <w:snapToGrid w:val="0"/>
              <w:spacing w:before="20"/>
              <w:ind w:left="0" w:leftChars="0" w:right="0" w:rightChars="0" w:firstLine="0" w:firstLineChars="0"/>
              <w:jc w:val="left"/>
              <w:rPr>
                <w:rFonts w:ascii="Calibri" w:eastAsia="宋体"/>
                <w:sz w:val="24"/>
                <w:szCs w:val="24"/>
                <w:lang w:val="zh-CN" w:eastAsia="zh-CN" w:bidi="zh-CN"/>
              </w:rPr>
            </w:pPr>
            <w:r>
              <w:rPr>
                <w:rFonts w:ascii="Calibri" w:eastAsia="宋体"/>
                <w:sz w:val="24"/>
                <w:szCs w:val="24"/>
                <w:lang w:val="zh-CN" w:eastAsia="zh-CN" w:bidi="zh-CN"/>
              </w:rPr>
              <w:t xml:space="preserve">现场管理组织机构健全、分工明确、配置合理、劳动力组织合理，能满足施工要求，如施工现场的投入未能达到技术标所述标准，应有处罚、整改措施，且措施具体并合理可行 </w:t>
            </w:r>
            <w:r>
              <w:rPr>
                <w:rFonts w:hint="eastAsia" w:ascii="Calibri" w:eastAsia="宋体"/>
                <w:sz w:val="24"/>
                <w:szCs w:val="24"/>
                <w:lang w:val="zh-CN" w:eastAsia="zh-CN" w:bidi="zh-CN"/>
              </w:rPr>
              <w:t>。</w:t>
            </w:r>
          </w:p>
        </w:tc>
      </w:tr>
      <w:tr w14:paraId="0AC40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19" w:type="dxa"/>
            <w:vMerge w:val="continue"/>
            <w:noWrap w:val="0"/>
            <w:vAlign w:val="center"/>
          </w:tcPr>
          <w:p w14:paraId="150C4239">
            <w:pPr>
              <w:snapToGrid w:val="0"/>
              <w:ind w:left="0" w:leftChars="0" w:right="0" w:rightChars="0" w:firstLine="0" w:firstLineChars="0"/>
              <w:jc w:val="center"/>
              <w:rPr>
                <w:rFonts w:ascii="Calibri" w:eastAsia="宋体"/>
                <w:sz w:val="24"/>
                <w:szCs w:val="24"/>
                <w:lang w:val="zh-CN" w:eastAsia="zh-CN" w:bidi="zh-CN"/>
              </w:rPr>
            </w:pPr>
          </w:p>
        </w:tc>
        <w:tc>
          <w:tcPr>
            <w:tcW w:w="2355" w:type="dxa"/>
            <w:noWrap w:val="0"/>
            <w:vAlign w:val="center"/>
          </w:tcPr>
          <w:p w14:paraId="552D0059">
            <w:pPr>
              <w:snapToGrid w:val="0"/>
              <w:spacing w:before="41" w:line="240" w:lineRule="auto"/>
              <w:ind w:left="0" w:leftChars="0" w:right="0" w:rightChars="0" w:firstLine="0" w:firstLineChars="0"/>
              <w:jc w:val="center"/>
              <w:rPr>
                <w:rFonts w:ascii="Calibri" w:eastAsia="宋体"/>
                <w:sz w:val="24"/>
                <w:szCs w:val="24"/>
                <w:lang w:val="zh-CN" w:eastAsia="zh-CN" w:bidi="zh-CN"/>
              </w:rPr>
            </w:pPr>
            <w:r>
              <w:rPr>
                <w:rFonts w:ascii="Calibri" w:eastAsia="宋体"/>
                <w:sz w:val="24"/>
                <w:szCs w:val="24"/>
                <w:lang w:val="zh-CN" w:eastAsia="zh-CN" w:bidi="zh-CN"/>
              </w:rPr>
              <w:t>确保工程质量的技术组织措施</w:t>
            </w:r>
          </w:p>
          <w:p w14:paraId="6ED5B302">
            <w:pPr>
              <w:snapToGrid w:val="0"/>
              <w:spacing w:before="41" w:line="240" w:lineRule="auto"/>
              <w:ind w:left="0" w:leftChars="0" w:right="0" w:rightChars="0" w:firstLine="0" w:firstLineChars="0"/>
              <w:jc w:val="center"/>
              <w:rPr>
                <w:rFonts w:ascii="Calibri" w:eastAsia="宋体"/>
                <w:sz w:val="24"/>
                <w:szCs w:val="24"/>
                <w:lang w:val="zh-CN" w:eastAsia="zh-CN" w:bidi="zh-CN"/>
              </w:rPr>
            </w:pPr>
            <w:r>
              <w:rPr>
                <w:rFonts w:ascii="Calibri" w:eastAsia="宋体"/>
                <w:sz w:val="24"/>
                <w:szCs w:val="24"/>
                <w:lang w:val="zh-CN" w:eastAsia="zh-CN" w:bidi="zh-CN"/>
              </w:rPr>
              <w:t>（</w:t>
            </w:r>
            <w:r>
              <w:rPr>
                <w:rFonts w:hint="eastAsia" w:ascii="Calibri" w:eastAsia="宋体"/>
                <w:sz w:val="24"/>
                <w:szCs w:val="24"/>
                <w:lang w:val="en-US" w:eastAsia="zh-CN" w:bidi="zh-CN"/>
              </w:rPr>
              <w:t>5</w:t>
            </w:r>
            <w:r>
              <w:rPr>
                <w:rFonts w:ascii="Calibri" w:eastAsia="宋体"/>
                <w:sz w:val="24"/>
                <w:szCs w:val="24"/>
                <w:lang w:val="zh-CN" w:eastAsia="zh-CN" w:bidi="zh-CN"/>
              </w:rPr>
              <w:t xml:space="preserve"> 分）</w:t>
            </w:r>
          </w:p>
        </w:tc>
        <w:tc>
          <w:tcPr>
            <w:tcW w:w="5340" w:type="dxa"/>
            <w:noWrap w:val="0"/>
            <w:vAlign w:val="center"/>
          </w:tcPr>
          <w:p w14:paraId="1BA31BEB">
            <w:pPr>
              <w:snapToGrid w:val="0"/>
              <w:spacing w:before="41"/>
              <w:ind w:left="0" w:leftChars="0" w:right="0" w:rightChars="0" w:firstLine="0" w:firstLineChars="0"/>
              <w:jc w:val="left"/>
              <w:rPr>
                <w:rFonts w:ascii="Calibri" w:eastAsia="宋体"/>
                <w:sz w:val="24"/>
                <w:szCs w:val="24"/>
                <w:lang w:val="zh-CN" w:eastAsia="zh-CN" w:bidi="zh-CN"/>
              </w:rPr>
            </w:pPr>
            <w:r>
              <w:rPr>
                <w:rFonts w:ascii="Calibri" w:eastAsia="宋体"/>
                <w:sz w:val="24"/>
                <w:szCs w:val="24"/>
                <w:lang w:val="zh-CN" w:eastAsia="zh-CN" w:bidi="zh-CN"/>
              </w:rPr>
              <w:t>质量保证体系完整，措施且</w:t>
            </w:r>
            <w:r>
              <w:rPr>
                <w:rFonts w:hint="eastAsia"/>
                <w:sz w:val="24"/>
                <w:szCs w:val="24"/>
                <w:lang w:val="zh-CN" w:eastAsia="zh-CN" w:bidi="zh-CN"/>
              </w:rPr>
              <w:t>具有</w:t>
            </w:r>
            <w:r>
              <w:rPr>
                <w:rFonts w:ascii="Calibri" w:eastAsia="宋体"/>
                <w:sz w:val="24"/>
                <w:szCs w:val="24"/>
                <w:lang w:val="zh-CN" w:eastAsia="zh-CN" w:bidi="zh-CN"/>
              </w:rPr>
              <w:t xml:space="preserve">针对性和可行性，确保工程质量的技术组织措施，使用的新技术、新工艺的图文说明。 </w:t>
            </w:r>
          </w:p>
        </w:tc>
      </w:tr>
      <w:tr w14:paraId="25509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19" w:type="dxa"/>
            <w:vMerge w:val="continue"/>
            <w:noWrap w:val="0"/>
            <w:vAlign w:val="center"/>
          </w:tcPr>
          <w:p w14:paraId="1F027CA7">
            <w:pPr>
              <w:snapToGrid w:val="0"/>
              <w:ind w:left="0" w:leftChars="0" w:right="0" w:rightChars="0" w:firstLine="0" w:firstLineChars="0"/>
              <w:jc w:val="center"/>
              <w:rPr>
                <w:rFonts w:ascii="Calibri" w:eastAsia="宋体"/>
                <w:sz w:val="24"/>
                <w:szCs w:val="24"/>
                <w:lang w:val="zh-CN" w:eastAsia="zh-CN" w:bidi="zh-CN"/>
              </w:rPr>
            </w:pPr>
          </w:p>
        </w:tc>
        <w:tc>
          <w:tcPr>
            <w:tcW w:w="2355" w:type="dxa"/>
            <w:noWrap w:val="0"/>
            <w:vAlign w:val="center"/>
          </w:tcPr>
          <w:p w14:paraId="4AC8EF80">
            <w:pPr>
              <w:snapToGrid w:val="0"/>
              <w:spacing w:line="240" w:lineRule="auto"/>
              <w:ind w:left="0" w:leftChars="0" w:right="0" w:rightChars="0" w:firstLine="0" w:firstLineChars="0"/>
              <w:jc w:val="center"/>
              <w:rPr>
                <w:rFonts w:ascii="Calibri" w:eastAsia="宋体"/>
                <w:sz w:val="24"/>
                <w:szCs w:val="24"/>
                <w:lang w:val="zh-CN" w:eastAsia="zh-CN" w:bidi="zh-CN"/>
              </w:rPr>
            </w:pPr>
            <w:r>
              <w:rPr>
                <w:rFonts w:ascii="Calibri" w:eastAsia="宋体"/>
                <w:sz w:val="24"/>
                <w:szCs w:val="24"/>
                <w:lang w:val="zh-CN" w:eastAsia="zh-CN" w:bidi="zh-CN"/>
              </w:rPr>
              <w:t>确保安全生产的技术组织措施</w:t>
            </w:r>
          </w:p>
          <w:p w14:paraId="1C2E23A2">
            <w:pPr>
              <w:snapToGrid w:val="0"/>
              <w:spacing w:line="240" w:lineRule="auto"/>
              <w:ind w:left="0" w:leftChars="0" w:right="0" w:rightChars="0" w:firstLine="0" w:firstLineChars="0"/>
              <w:jc w:val="center"/>
              <w:rPr>
                <w:rFonts w:ascii="Calibri" w:eastAsia="宋体"/>
                <w:sz w:val="24"/>
                <w:szCs w:val="24"/>
                <w:lang w:val="zh-CN" w:eastAsia="zh-CN" w:bidi="zh-CN"/>
              </w:rPr>
            </w:pPr>
            <w:r>
              <w:rPr>
                <w:rFonts w:ascii="Calibri" w:eastAsia="宋体"/>
                <w:sz w:val="24"/>
                <w:szCs w:val="24"/>
                <w:lang w:val="zh-CN" w:eastAsia="zh-CN" w:bidi="zh-CN"/>
              </w:rPr>
              <w:t>（</w:t>
            </w:r>
            <w:r>
              <w:rPr>
                <w:rFonts w:hint="eastAsia" w:ascii="Calibri" w:eastAsia="宋体"/>
                <w:sz w:val="24"/>
                <w:szCs w:val="24"/>
                <w:lang w:val="en-US" w:eastAsia="zh-CN" w:bidi="zh-CN"/>
              </w:rPr>
              <w:t>10</w:t>
            </w:r>
            <w:r>
              <w:rPr>
                <w:rFonts w:ascii="Calibri" w:eastAsia="宋体"/>
                <w:sz w:val="24"/>
                <w:szCs w:val="24"/>
                <w:lang w:val="zh-CN" w:eastAsia="zh-CN" w:bidi="zh-CN"/>
              </w:rPr>
              <w:t xml:space="preserve"> 分）</w:t>
            </w:r>
          </w:p>
        </w:tc>
        <w:tc>
          <w:tcPr>
            <w:tcW w:w="5340" w:type="dxa"/>
            <w:noWrap w:val="0"/>
            <w:vAlign w:val="center"/>
          </w:tcPr>
          <w:p w14:paraId="622AB2CF">
            <w:pPr>
              <w:snapToGrid w:val="0"/>
              <w:spacing w:before="44"/>
              <w:ind w:left="0" w:leftChars="0" w:right="0" w:rightChars="0" w:firstLine="0" w:firstLineChars="0"/>
              <w:jc w:val="left"/>
              <w:rPr>
                <w:rFonts w:ascii="Calibri" w:eastAsia="宋体"/>
                <w:sz w:val="24"/>
                <w:szCs w:val="24"/>
                <w:lang w:val="zh-CN" w:eastAsia="zh-CN" w:bidi="zh-CN"/>
              </w:rPr>
            </w:pPr>
            <w:r>
              <w:rPr>
                <w:rFonts w:ascii="Calibri" w:eastAsia="宋体"/>
                <w:sz w:val="24"/>
                <w:szCs w:val="24"/>
                <w:lang w:val="zh-CN" w:eastAsia="zh-CN" w:bidi="zh-CN"/>
              </w:rPr>
              <w:t xml:space="preserve">安全生产体系完整，措施有针对性和可行性，制定切实可行的安全技术措施，并从技术上入手，针对项目实际情况，编制安全预案，以达到安全目标。 </w:t>
            </w:r>
          </w:p>
        </w:tc>
      </w:tr>
      <w:tr w14:paraId="5E4F1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19" w:type="dxa"/>
            <w:vMerge w:val="continue"/>
            <w:noWrap w:val="0"/>
            <w:vAlign w:val="center"/>
          </w:tcPr>
          <w:p w14:paraId="00AA0C09">
            <w:pPr>
              <w:snapToGrid w:val="0"/>
              <w:ind w:left="0" w:leftChars="0" w:right="0" w:rightChars="0" w:firstLine="0" w:firstLineChars="0"/>
              <w:jc w:val="center"/>
              <w:rPr>
                <w:rFonts w:ascii="Calibri" w:eastAsia="宋体"/>
                <w:sz w:val="24"/>
                <w:szCs w:val="24"/>
                <w:lang w:val="zh-CN" w:eastAsia="zh-CN" w:bidi="zh-CN"/>
              </w:rPr>
            </w:pPr>
          </w:p>
        </w:tc>
        <w:tc>
          <w:tcPr>
            <w:tcW w:w="2355" w:type="dxa"/>
            <w:noWrap w:val="0"/>
            <w:vAlign w:val="center"/>
          </w:tcPr>
          <w:p w14:paraId="4C1DEACC">
            <w:pPr>
              <w:snapToGrid w:val="0"/>
              <w:spacing w:line="240" w:lineRule="auto"/>
              <w:ind w:left="0" w:leftChars="0" w:right="0" w:rightChars="0" w:firstLine="0" w:firstLineChars="0"/>
              <w:jc w:val="center"/>
              <w:rPr>
                <w:rFonts w:ascii="Calibri" w:eastAsia="宋体"/>
                <w:sz w:val="24"/>
                <w:szCs w:val="24"/>
                <w:lang w:val="zh-CN" w:eastAsia="zh-CN" w:bidi="zh-CN"/>
              </w:rPr>
            </w:pPr>
            <w:r>
              <w:rPr>
                <w:rFonts w:ascii="Calibri" w:eastAsia="宋体"/>
                <w:sz w:val="24"/>
                <w:szCs w:val="24"/>
                <w:lang w:val="zh-CN" w:eastAsia="zh-CN" w:bidi="zh-CN"/>
              </w:rPr>
              <w:t>确保文明施工的技术组织措施</w:t>
            </w:r>
          </w:p>
          <w:p w14:paraId="2C13946E">
            <w:pPr>
              <w:snapToGrid w:val="0"/>
              <w:spacing w:line="240" w:lineRule="auto"/>
              <w:ind w:left="0" w:leftChars="0" w:right="0" w:rightChars="0" w:firstLine="0" w:firstLineChars="0"/>
              <w:jc w:val="center"/>
              <w:rPr>
                <w:rFonts w:ascii="Calibri" w:eastAsia="宋体"/>
                <w:sz w:val="24"/>
                <w:szCs w:val="24"/>
                <w:lang w:val="zh-CN" w:eastAsia="zh-CN" w:bidi="zh-CN"/>
              </w:rPr>
            </w:pPr>
            <w:r>
              <w:rPr>
                <w:rFonts w:ascii="Calibri" w:eastAsia="宋体"/>
                <w:sz w:val="24"/>
                <w:szCs w:val="24"/>
                <w:lang w:val="zh-CN" w:eastAsia="zh-CN" w:bidi="zh-CN"/>
              </w:rPr>
              <w:t>（</w:t>
            </w:r>
            <w:r>
              <w:rPr>
                <w:rFonts w:hint="eastAsia" w:ascii="Calibri" w:eastAsia="宋体"/>
                <w:sz w:val="24"/>
                <w:szCs w:val="24"/>
                <w:lang w:val="en-US" w:eastAsia="zh-CN" w:bidi="zh-CN"/>
              </w:rPr>
              <w:t>10</w:t>
            </w:r>
            <w:r>
              <w:rPr>
                <w:rFonts w:ascii="Calibri" w:eastAsia="宋体"/>
                <w:sz w:val="24"/>
                <w:szCs w:val="24"/>
                <w:lang w:val="zh-CN" w:eastAsia="zh-CN" w:bidi="zh-CN"/>
              </w:rPr>
              <w:t xml:space="preserve"> 分）</w:t>
            </w:r>
          </w:p>
        </w:tc>
        <w:tc>
          <w:tcPr>
            <w:tcW w:w="5340" w:type="dxa"/>
            <w:noWrap w:val="0"/>
            <w:vAlign w:val="center"/>
          </w:tcPr>
          <w:p w14:paraId="47827F45">
            <w:pPr>
              <w:snapToGrid w:val="0"/>
              <w:spacing w:before="20"/>
              <w:ind w:left="0" w:leftChars="0" w:right="0" w:rightChars="0" w:firstLine="0" w:firstLineChars="0"/>
              <w:jc w:val="left"/>
              <w:rPr>
                <w:rFonts w:ascii="Calibri" w:eastAsia="宋体"/>
                <w:sz w:val="24"/>
                <w:szCs w:val="24"/>
                <w:lang w:val="zh-CN" w:eastAsia="zh-CN" w:bidi="zh-CN"/>
              </w:rPr>
            </w:pPr>
            <w:r>
              <w:rPr>
                <w:rFonts w:ascii="Calibri" w:eastAsia="宋体"/>
                <w:sz w:val="24"/>
                <w:szCs w:val="24"/>
                <w:lang w:val="zh-CN" w:eastAsia="zh-CN" w:bidi="zh-CN"/>
              </w:rPr>
              <w:t>文明施工体系完整</w:t>
            </w:r>
            <w:r>
              <w:rPr>
                <w:rFonts w:hint="eastAsia"/>
                <w:sz w:val="24"/>
                <w:szCs w:val="24"/>
                <w:lang w:val="zh-CN" w:eastAsia="zh-CN" w:bidi="zh-CN"/>
              </w:rPr>
              <w:t>，具</w:t>
            </w:r>
            <w:r>
              <w:rPr>
                <w:rFonts w:ascii="Calibri" w:eastAsia="宋体"/>
                <w:sz w:val="24"/>
                <w:szCs w:val="24"/>
                <w:lang w:val="zh-CN" w:eastAsia="zh-CN" w:bidi="zh-CN"/>
              </w:rPr>
              <w:t xml:space="preserve">有针对性和可行性，对施工现场进行统一规划，做到布局合理。制定合理的施工方案及施工措施完善文明施工现场环境。采用新技术、新工艺以减少现场施工垃圾、保护环境。 </w:t>
            </w:r>
          </w:p>
        </w:tc>
      </w:tr>
      <w:tr w14:paraId="41929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19" w:type="dxa"/>
            <w:vMerge w:val="restart"/>
            <w:noWrap w:val="0"/>
            <w:vAlign w:val="center"/>
          </w:tcPr>
          <w:p w14:paraId="03CC8F04">
            <w:pPr>
              <w:snapToGrid w:val="0"/>
              <w:spacing w:before="22" w:line="240" w:lineRule="auto"/>
              <w:ind w:left="0" w:leftChars="0" w:right="0" w:rightChars="0" w:firstLine="0" w:firstLineChars="0"/>
              <w:jc w:val="center"/>
              <w:rPr>
                <w:rFonts w:hint="default" w:ascii="Calibri" w:eastAsia="宋体"/>
                <w:sz w:val="24"/>
                <w:szCs w:val="24"/>
                <w:lang w:val="en-US" w:eastAsia="zh-CN" w:bidi="zh-CN"/>
              </w:rPr>
            </w:pPr>
            <w:r>
              <w:rPr>
                <w:rFonts w:hint="eastAsia" w:ascii="Calibri" w:eastAsia="宋体" w:cs="Times New Roman"/>
                <w:b/>
                <w:sz w:val="24"/>
                <w:szCs w:val="24"/>
                <w:lang w:val="zh-CN" w:eastAsia="zh-CN" w:bidi="zh-CN"/>
              </w:rPr>
              <w:t>综合标</w:t>
            </w:r>
            <w:r>
              <w:rPr>
                <w:rFonts w:hint="eastAsia" w:ascii="Calibri" w:eastAsia="宋体" w:cs="Times New Roman"/>
                <w:b/>
                <w:sz w:val="24"/>
                <w:szCs w:val="24"/>
                <w:lang w:val="en-US" w:eastAsia="zh-CN" w:bidi="zh-CN"/>
              </w:rPr>
              <w:t>20</w:t>
            </w:r>
            <w:r>
              <w:rPr>
                <w:rFonts w:hint="eastAsia" w:ascii="Calibri" w:eastAsia="宋体" w:cs="Times New Roman"/>
                <w:b/>
                <w:sz w:val="24"/>
                <w:szCs w:val="24"/>
                <w:lang w:val="zh-CN" w:eastAsia="zh-CN" w:bidi="zh-CN"/>
              </w:rPr>
              <w:t>分</w:t>
            </w:r>
          </w:p>
        </w:tc>
        <w:tc>
          <w:tcPr>
            <w:tcW w:w="2355" w:type="dxa"/>
            <w:tcBorders>
              <w:top w:val="single" w:color="000000" w:sz="6" w:space="0"/>
            </w:tcBorders>
            <w:noWrap w:val="0"/>
            <w:vAlign w:val="center"/>
          </w:tcPr>
          <w:p w14:paraId="04788E89">
            <w:pPr>
              <w:snapToGrid w:val="0"/>
              <w:ind w:left="0" w:leftChars="0" w:right="0" w:rightChars="0" w:firstLine="0" w:firstLineChars="0"/>
              <w:jc w:val="center"/>
              <w:rPr>
                <w:rFonts w:ascii="Calibri" w:eastAsia="宋体"/>
                <w:sz w:val="24"/>
                <w:szCs w:val="24"/>
                <w:lang w:val="zh-CN" w:bidi="zh-CN"/>
              </w:rPr>
            </w:pPr>
            <w:r>
              <w:rPr>
                <w:rFonts w:ascii="Calibri" w:eastAsia="宋体"/>
                <w:sz w:val="24"/>
                <w:szCs w:val="24"/>
                <w:lang w:val="zh-CN" w:bidi="zh-CN"/>
              </w:rPr>
              <w:t>缺陷责任期</w:t>
            </w:r>
          </w:p>
          <w:p w14:paraId="6B1371D4">
            <w:pPr>
              <w:snapToGrid w:val="0"/>
              <w:ind w:left="0" w:leftChars="0" w:right="0" w:rightChars="0" w:firstLine="0" w:firstLineChars="0"/>
              <w:jc w:val="center"/>
              <w:rPr>
                <w:rFonts w:ascii="Calibri" w:eastAsia="宋体"/>
                <w:sz w:val="24"/>
                <w:szCs w:val="24"/>
                <w:lang w:val="zh-CN" w:bidi="zh-CN"/>
              </w:rPr>
            </w:pPr>
            <w:r>
              <w:rPr>
                <w:rFonts w:ascii="Calibri" w:eastAsia="宋体"/>
                <w:sz w:val="24"/>
                <w:szCs w:val="24"/>
                <w:lang w:val="zh-CN" w:bidi="zh-CN"/>
              </w:rPr>
              <w:t>（</w:t>
            </w:r>
            <w:r>
              <w:rPr>
                <w:rFonts w:hint="eastAsia"/>
                <w:sz w:val="24"/>
                <w:szCs w:val="24"/>
                <w:lang w:val="en-US" w:eastAsia="zh-CN" w:bidi="zh-CN"/>
              </w:rPr>
              <w:t>5</w:t>
            </w:r>
            <w:r>
              <w:rPr>
                <w:rFonts w:ascii="Calibri" w:eastAsia="宋体"/>
                <w:sz w:val="24"/>
                <w:szCs w:val="24"/>
                <w:lang w:val="zh-CN" w:bidi="zh-CN"/>
              </w:rPr>
              <w:t>分）</w:t>
            </w:r>
          </w:p>
        </w:tc>
        <w:tc>
          <w:tcPr>
            <w:tcW w:w="5340" w:type="dxa"/>
            <w:tcBorders>
              <w:top w:val="single" w:color="000000" w:sz="6" w:space="0"/>
            </w:tcBorders>
            <w:noWrap w:val="0"/>
            <w:vAlign w:val="center"/>
          </w:tcPr>
          <w:p w14:paraId="603F86BB">
            <w:pPr>
              <w:snapToGrid w:val="0"/>
              <w:spacing w:before="28"/>
              <w:ind w:left="0" w:leftChars="0" w:right="0" w:rightChars="0" w:firstLine="0" w:firstLineChars="0"/>
              <w:jc w:val="left"/>
              <w:rPr>
                <w:rFonts w:hint="default" w:ascii="Calibri" w:eastAsia="宋体"/>
                <w:sz w:val="24"/>
                <w:szCs w:val="24"/>
                <w:lang w:val="en-US" w:eastAsia="zh-CN" w:bidi="zh-CN"/>
              </w:rPr>
            </w:pPr>
            <w:r>
              <w:rPr>
                <w:rFonts w:ascii="Calibri" w:eastAsia="宋体"/>
                <w:spacing w:val="-6"/>
                <w:sz w:val="24"/>
                <w:szCs w:val="24"/>
                <w:lang w:val="zh-CN" w:eastAsia="zh-CN" w:bidi="zh-CN"/>
              </w:rPr>
              <w:t>缺陷责任期至少</w:t>
            </w:r>
            <w:r>
              <w:rPr>
                <w:rFonts w:hint="eastAsia"/>
                <w:spacing w:val="-6"/>
                <w:sz w:val="24"/>
                <w:szCs w:val="24"/>
                <w:lang w:val="zh-CN" w:eastAsia="zh-CN" w:bidi="zh-CN"/>
              </w:rPr>
              <w:t>两年</w:t>
            </w:r>
            <w:r>
              <w:rPr>
                <w:rFonts w:ascii="Calibri" w:eastAsia="宋体"/>
                <w:spacing w:val="-6"/>
                <w:sz w:val="24"/>
                <w:szCs w:val="24"/>
                <w:lang w:val="zh-CN" w:eastAsia="zh-CN" w:bidi="zh-CN"/>
              </w:rPr>
              <w:t xml:space="preserve">，承诺每增加一年得 </w:t>
            </w:r>
            <w:r>
              <w:rPr>
                <w:rFonts w:hint="eastAsia"/>
                <w:sz w:val="24"/>
                <w:szCs w:val="24"/>
                <w:lang w:val="en-US" w:eastAsia="zh-CN" w:bidi="zh-CN"/>
              </w:rPr>
              <w:t>5</w:t>
            </w:r>
            <w:r>
              <w:rPr>
                <w:rFonts w:ascii="Calibri" w:eastAsia="宋体"/>
                <w:spacing w:val="-15"/>
                <w:sz w:val="24"/>
                <w:szCs w:val="24"/>
                <w:lang w:val="zh-CN" w:eastAsia="zh-CN" w:bidi="zh-CN"/>
              </w:rPr>
              <w:t xml:space="preserve"> 分，最高得 </w:t>
            </w:r>
            <w:r>
              <w:rPr>
                <w:rFonts w:hint="eastAsia"/>
                <w:sz w:val="24"/>
                <w:szCs w:val="24"/>
                <w:lang w:val="en-US" w:eastAsia="zh-CN" w:bidi="zh-CN"/>
              </w:rPr>
              <w:t>5</w:t>
            </w:r>
            <w:r>
              <w:rPr>
                <w:rFonts w:ascii="Calibri" w:eastAsia="宋体"/>
                <w:sz w:val="24"/>
                <w:szCs w:val="24"/>
                <w:lang w:val="zh-CN" w:eastAsia="zh-CN" w:bidi="zh-CN"/>
              </w:rPr>
              <w:t xml:space="preserve">分 </w:t>
            </w:r>
          </w:p>
        </w:tc>
      </w:tr>
      <w:tr w14:paraId="33864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1419" w:type="dxa"/>
            <w:vMerge w:val="continue"/>
            <w:noWrap w:val="0"/>
            <w:vAlign w:val="center"/>
          </w:tcPr>
          <w:p w14:paraId="26266608">
            <w:pPr>
              <w:snapToGrid w:val="0"/>
              <w:ind w:left="0" w:leftChars="0" w:right="0" w:rightChars="0" w:firstLine="0" w:firstLineChars="0"/>
              <w:jc w:val="center"/>
              <w:rPr>
                <w:rFonts w:ascii="Calibri" w:eastAsia="宋体"/>
                <w:sz w:val="24"/>
                <w:szCs w:val="24"/>
                <w:lang w:val="zh-CN" w:eastAsia="zh-CN" w:bidi="zh-CN"/>
              </w:rPr>
            </w:pPr>
          </w:p>
        </w:tc>
        <w:tc>
          <w:tcPr>
            <w:tcW w:w="2355" w:type="dxa"/>
            <w:tcBorders>
              <w:top w:val="single" w:color="auto" w:sz="4" w:space="0"/>
              <w:bottom w:val="single" w:color="auto" w:sz="4" w:space="0"/>
            </w:tcBorders>
            <w:noWrap w:val="0"/>
            <w:vAlign w:val="center"/>
          </w:tcPr>
          <w:p w14:paraId="7DA09116">
            <w:pPr>
              <w:snapToGrid w:val="0"/>
              <w:spacing w:line="240" w:lineRule="auto"/>
              <w:ind w:left="0" w:leftChars="0" w:right="0" w:rightChars="0" w:firstLine="0" w:firstLineChars="0"/>
              <w:jc w:val="center"/>
              <w:rPr>
                <w:rFonts w:hint="eastAsia" w:ascii="Calibri" w:eastAsia="宋体"/>
                <w:color w:val="000000"/>
                <w:sz w:val="24"/>
                <w:szCs w:val="24"/>
                <w:lang w:val="zh-CN" w:eastAsia="zh-CN" w:bidi="zh-CN"/>
              </w:rPr>
            </w:pPr>
            <w:r>
              <w:rPr>
                <w:rFonts w:hint="eastAsia" w:ascii="Calibri" w:eastAsia="宋体"/>
                <w:sz w:val="24"/>
                <w:szCs w:val="24"/>
                <w:lang w:val="zh-CN" w:bidi="zh-CN"/>
              </w:rPr>
              <w:t>工期承诺</w:t>
            </w:r>
            <w:r>
              <w:rPr>
                <w:rFonts w:hint="eastAsia" w:ascii="Calibri" w:eastAsia="宋体"/>
                <w:color w:val="000000"/>
                <w:sz w:val="24"/>
                <w:szCs w:val="24"/>
                <w:lang w:val="en-US" w:eastAsia="zh-CN" w:bidi="zh-CN"/>
              </w:rPr>
              <w:t>1</w:t>
            </w:r>
            <w:r>
              <w:rPr>
                <w:rFonts w:hint="eastAsia"/>
                <w:color w:val="000000"/>
                <w:sz w:val="24"/>
                <w:szCs w:val="24"/>
                <w:lang w:val="en-US" w:eastAsia="zh-CN" w:bidi="zh-CN"/>
              </w:rPr>
              <w:t>5</w:t>
            </w:r>
            <w:r>
              <w:rPr>
                <w:rFonts w:hint="eastAsia" w:ascii="Calibri" w:eastAsia="宋体"/>
                <w:color w:val="000000"/>
                <w:sz w:val="24"/>
                <w:szCs w:val="24"/>
                <w:lang w:val="zh-CN" w:eastAsia="zh-CN" w:bidi="zh-CN"/>
              </w:rPr>
              <w:t>分</w:t>
            </w:r>
          </w:p>
        </w:tc>
        <w:tc>
          <w:tcPr>
            <w:tcW w:w="5340" w:type="dxa"/>
            <w:tcBorders>
              <w:top w:val="single" w:color="auto" w:sz="4" w:space="0"/>
              <w:bottom w:val="single" w:color="auto" w:sz="4" w:space="0"/>
            </w:tcBorders>
            <w:noWrap w:val="0"/>
            <w:vAlign w:val="center"/>
          </w:tcPr>
          <w:p w14:paraId="504035A4">
            <w:pPr>
              <w:snapToGrid w:val="0"/>
              <w:ind w:left="0" w:leftChars="0" w:right="0" w:rightChars="0" w:firstLine="0" w:firstLineChars="0"/>
              <w:jc w:val="left"/>
              <w:rPr>
                <w:rFonts w:ascii="Calibri" w:eastAsia="宋体"/>
                <w:sz w:val="24"/>
                <w:szCs w:val="24"/>
                <w:lang w:val="zh-CN" w:eastAsia="zh-CN" w:bidi="zh-CN"/>
              </w:rPr>
            </w:pPr>
            <w:r>
              <w:rPr>
                <w:rFonts w:hint="eastAsia" w:ascii="Calibri" w:eastAsia="宋体"/>
                <w:sz w:val="24"/>
                <w:szCs w:val="24"/>
                <w:lang w:val="zh-CN" w:eastAsia="zh-CN" w:bidi="zh-CN"/>
              </w:rPr>
              <w:t>本项目为交钥匙工程</w:t>
            </w:r>
            <w:r>
              <w:rPr>
                <w:rFonts w:hint="eastAsia" w:ascii="Calibri" w:eastAsia="宋体"/>
                <w:sz w:val="24"/>
                <w:szCs w:val="24"/>
                <w:highlight w:val="none"/>
                <w:lang w:val="zh-CN" w:eastAsia="zh-CN" w:bidi="zh-CN"/>
              </w:rPr>
              <w:t>，工期</w:t>
            </w:r>
            <w:r>
              <w:rPr>
                <w:rFonts w:hint="eastAsia"/>
                <w:sz w:val="24"/>
                <w:szCs w:val="24"/>
                <w:highlight w:val="none"/>
                <w:lang w:val="en-US" w:eastAsia="zh-CN" w:bidi="zh-CN"/>
              </w:rPr>
              <w:t>50</w:t>
            </w:r>
            <w:r>
              <w:rPr>
                <w:rFonts w:hint="eastAsia" w:ascii="Calibri" w:eastAsia="宋体"/>
                <w:sz w:val="24"/>
                <w:szCs w:val="24"/>
                <w:highlight w:val="none"/>
                <w:lang w:val="zh-CN" w:eastAsia="zh-CN" w:bidi="zh-CN"/>
              </w:rPr>
              <w:t>天，</w:t>
            </w:r>
            <w:r>
              <w:rPr>
                <w:rFonts w:hint="eastAsia" w:ascii="Calibri" w:eastAsia="宋体"/>
                <w:sz w:val="24"/>
                <w:szCs w:val="24"/>
                <w:lang w:val="zh-CN" w:eastAsia="zh-CN" w:bidi="zh-CN"/>
              </w:rPr>
              <w:t>承诺</w:t>
            </w:r>
            <w:r>
              <w:rPr>
                <w:rFonts w:hint="eastAsia"/>
                <w:sz w:val="24"/>
                <w:szCs w:val="24"/>
                <w:lang w:val="en-US" w:eastAsia="zh-CN" w:bidi="zh-CN"/>
              </w:rPr>
              <w:t>每提前1天</w:t>
            </w:r>
            <w:r>
              <w:rPr>
                <w:rFonts w:hint="eastAsia" w:ascii="Calibri" w:eastAsia="宋体"/>
                <w:sz w:val="24"/>
                <w:szCs w:val="24"/>
                <w:lang w:val="zh-CN" w:eastAsia="zh-CN" w:bidi="zh-CN"/>
              </w:rPr>
              <w:t>完成并送电加</w:t>
            </w:r>
            <w:r>
              <w:rPr>
                <w:rFonts w:hint="eastAsia"/>
                <w:sz w:val="24"/>
                <w:szCs w:val="24"/>
                <w:lang w:val="en-US" w:eastAsia="zh-CN" w:bidi="zh-CN"/>
              </w:rPr>
              <w:t>1</w:t>
            </w:r>
            <w:r>
              <w:rPr>
                <w:rFonts w:hint="eastAsia" w:ascii="Calibri" w:eastAsia="宋体"/>
                <w:sz w:val="24"/>
                <w:szCs w:val="24"/>
                <w:lang w:val="zh-CN" w:eastAsia="zh-CN" w:bidi="zh-CN"/>
              </w:rPr>
              <w:t>分</w:t>
            </w:r>
            <w:r>
              <w:rPr>
                <w:rFonts w:hint="eastAsia"/>
                <w:sz w:val="24"/>
                <w:szCs w:val="24"/>
                <w:lang w:val="zh-CN" w:eastAsia="zh-CN" w:bidi="zh-CN"/>
              </w:rPr>
              <w:t>，最高</w:t>
            </w:r>
            <w:r>
              <w:rPr>
                <w:rFonts w:hint="eastAsia"/>
                <w:sz w:val="24"/>
                <w:szCs w:val="24"/>
                <w:lang w:val="en-US" w:eastAsia="zh-CN" w:bidi="zh-CN"/>
              </w:rPr>
              <w:t>15分</w:t>
            </w:r>
            <w:r>
              <w:rPr>
                <w:rFonts w:hint="eastAsia" w:ascii="Calibri" w:eastAsia="宋体"/>
                <w:sz w:val="24"/>
                <w:szCs w:val="24"/>
                <w:lang w:val="zh-CN" w:eastAsia="zh-CN" w:bidi="zh-CN"/>
              </w:rPr>
              <w:t xml:space="preserve">（承诺函格式自拟） </w:t>
            </w:r>
          </w:p>
        </w:tc>
      </w:tr>
    </w:tbl>
    <w:p w14:paraId="1562A42F">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7E1658A8">
      <w:pPr>
        <w:rPr>
          <w:rFonts w:hint="eastAsia" w:eastAsiaTheme="minorEastAsia"/>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3048B"/>
    <w:multiLevelType w:val="singleLevel"/>
    <w:tmpl w:val="ABD3048B"/>
    <w:lvl w:ilvl="0" w:tentative="0">
      <w:start w:val="1"/>
      <w:numFmt w:val="chineseCounting"/>
      <w:suff w:val="nothing"/>
      <w:lvlText w:val="%1、"/>
      <w:lvlJc w:val="left"/>
      <w:rPr>
        <w:rFonts w:hint="eastAsia"/>
      </w:rPr>
    </w:lvl>
  </w:abstractNum>
  <w:abstractNum w:abstractNumId="1">
    <w:nsid w:val="076C853E"/>
    <w:multiLevelType w:val="singleLevel"/>
    <w:tmpl w:val="076C853E"/>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E95D13"/>
    <w:rsid w:val="7B4E4E69"/>
    <w:rsid w:val="7E3F7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99"/>
    <w:pPr>
      <w:tabs>
        <w:tab w:val="center" w:pos="4153"/>
        <w:tab w:val="right" w:pos="8306"/>
      </w:tabs>
      <w:snapToGrid w:val="0"/>
      <w:jc w:val="left"/>
    </w:pPr>
    <w:rPr>
      <w:rFonts w:ascii="Times New Roman" w:hAnsi="Times New Roman"/>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w:basedOn w:val="2"/>
    <w:qFormat/>
    <w:uiPriority w:val="0"/>
    <w:pPr>
      <w:ind w:firstLine="420" w:firstLineChars="100"/>
    </w:pPr>
    <w:rPr>
      <w:rFonts w:ascii="宋体" w:hAnsi="宋体"/>
      <w:color w:val="000000"/>
      <w:sz w:val="18"/>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2026-03-09T09:08:32Z</dcterms:created>
  <dc:creator>Administrator</dc:creator>
  <cp:lastModifiedBy>南方</cp:lastModifiedBy>
  <dcterms:modified xsi:type="dcterms:W3CDTF">2026-03-09T09:09:51Z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eyJoZGlkIjoiZGQxZjU4ZjNkODAxM2UzMWQ0ODQxYzU0N2U4OWE4ODgiLCJ1c2VySWQiOiI0NjQzMDU4NTcifQ==</vt:lpwstr>
  </property>
  <property fmtid="{D5CDD505-2E9C-101B-9397-08002B2CF9AE}" pid="4" name="ICV">
    <vt:lpwstr>45E6001F839845B59CD0C1E3004196C4_12</vt:lpwstr>
  </property>
</Properties>
</file>